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00192017QEO/0062-2017-2020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vertAlign w:val="subscript"/>
                <w:lang w:val="en-US" w:eastAsia="zh-CN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=0.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0-150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1984" w:type="dxa"/>
            <w:gridSpan w:val="2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XH/ZY-03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auto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</w:rPr>
              <w:t>不确定度评定》附录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auto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Times New Roman" w:hAnsi="Times New Roman"/>
                <w:color w:val="auto"/>
              </w:rPr>
              <w:t>有效性确认记录》</w:t>
            </w:r>
            <w:r>
              <w:rPr>
                <w:rFonts w:hint="eastAsia" w:ascii="宋体" w:hAnsi="宋体"/>
                <w:color w:val="auto"/>
                <w:szCs w:val="21"/>
              </w:rPr>
              <w:t>附录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Times New Roman" w:hAnsi="Times New Roman"/>
                <w:color w:val="auto"/>
              </w:rPr>
              <w:t>监视统计记录及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控制</w:t>
            </w:r>
            <w:r>
              <w:rPr>
                <w:rFonts w:hint="eastAsia" w:ascii="Times New Roman" w:hAnsi="Times New Roman"/>
                <w:color w:val="auto"/>
              </w:rPr>
              <w:t>图》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附录 C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344B2"/>
    <w:rsid w:val="0C393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2020-12-20T07:19:19Z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