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w:t>
            </w:r>
            <w:r>
              <w:rPr>
                <w:rFonts w:hint="eastAsia"/>
                <w:sz w:val="24"/>
                <w:szCs w:val="24"/>
              </w:rPr>
              <w:t xml:space="preserve">部 </w:t>
            </w:r>
            <w:r>
              <w:rPr>
                <w:sz w:val="24"/>
                <w:szCs w:val="24"/>
              </w:rPr>
              <w:t xml:space="preserve">  </w:t>
            </w:r>
            <w:r>
              <w:rPr>
                <w:rFonts w:hint="eastAsia"/>
                <w:sz w:val="24"/>
                <w:szCs w:val="24"/>
              </w:rPr>
              <w:t>主管领导：</w:t>
            </w:r>
            <w:r>
              <w:rPr>
                <w:rFonts w:hint="eastAsia"/>
                <w:sz w:val="24"/>
                <w:szCs w:val="24"/>
                <w:lang w:val="en-US" w:eastAsia="zh-CN"/>
              </w:rPr>
              <w:t xml:space="preserve">林辉佳 </w:t>
            </w:r>
            <w:r>
              <w:rPr>
                <w:sz w:val="24"/>
                <w:szCs w:val="24"/>
              </w:rPr>
              <w:t xml:space="preserve"> </w:t>
            </w:r>
            <w:r>
              <w:rPr>
                <w:rFonts w:hint="eastAsia"/>
                <w:sz w:val="24"/>
                <w:szCs w:val="24"/>
              </w:rPr>
              <w:t>陪同人员：</w:t>
            </w:r>
            <w:r>
              <w:rPr>
                <w:rFonts w:hint="eastAsia"/>
                <w:sz w:val="24"/>
                <w:szCs w:val="24"/>
                <w:lang w:val="en-US" w:eastAsia="zh-CN"/>
              </w:rPr>
              <w:t>薛学舜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 xml:space="preserve">林兵  </w:t>
            </w:r>
            <w:r>
              <w:rPr>
                <w:rFonts w:hint="eastAsia"/>
                <w:sz w:val="24"/>
                <w:szCs w:val="24"/>
              </w:rPr>
              <w:t xml:space="preserve"> </w:t>
            </w:r>
            <w:r>
              <w:rPr>
                <w:sz w:val="24"/>
                <w:szCs w:val="24"/>
              </w:rPr>
              <w:t xml:space="preserve">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26~28</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p>
          <w:p>
            <w:pPr>
              <w:rPr>
                <w:sz w:val="24"/>
                <w:szCs w:val="24"/>
              </w:rPr>
            </w:pPr>
            <w:r>
              <w:rPr>
                <w:rFonts w:hint="eastAsia" w:ascii="宋体" w:hAnsi="宋体" w:cs="Arial"/>
                <w:szCs w:val="21"/>
              </w:rPr>
              <w:t>O: 5.3组织的岗位、职责和权限、6.2目标、6.1.2危险源辨识与评价、8.1运行策划和控制、8.2应急准备和响应，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负责人：</w:t>
            </w:r>
            <w:r>
              <w:rPr>
                <w:rFonts w:hint="eastAsia"/>
                <w:sz w:val="24"/>
                <w:szCs w:val="24"/>
                <w:lang w:val="en-US" w:eastAsia="zh-CN"/>
              </w:rPr>
              <w:t>林辉佳</w:t>
            </w:r>
            <w:r>
              <w:rPr>
                <w:rFonts w:hint="eastAsia" w:ascii="宋体" w:hAnsi="宋体" w:cs="宋体"/>
                <w:szCs w:val="21"/>
              </w:rPr>
              <w:t>。在手册中确定了</w:t>
            </w:r>
            <w:r>
              <w:rPr>
                <w:rFonts w:hint="eastAsia" w:ascii="宋体" w:hAnsi="宋体" w:cs="宋体"/>
                <w:szCs w:val="21"/>
                <w:lang w:eastAsia="zh-CN"/>
              </w:rPr>
              <w:t>业务部</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业务部</w:t>
            </w:r>
            <w:r>
              <w:rPr>
                <w:rFonts w:hint="eastAsia" w:ascii="宋体" w:hAnsi="宋体" w:cs="宋体"/>
                <w:szCs w:val="21"/>
              </w:rPr>
              <w:t>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因素识别、危险源识别</w:t>
            </w:r>
          </w:p>
        </w:tc>
        <w:tc>
          <w:tcPr>
            <w:tcW w:w="998" w:type="dxa"/>
          </w:tcPr>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w:t>
            </w:r>
            <w:r>
              <w:rPr>
                <w:rFonts w:hint="eastAsia"/>
                <w:szCs w:val="21"/>
                <w:lang w:eastAsia="zh-CN"/>
              </w:rPr>
              <w:t>业务部</w:t>
            </w:r>
            <w:r>
              <w:rPr>
                <w:rFonts w:hint="eastAsia"/>
                <w:szCs w:val="21"/>
              </w:rPr>
              <w:t>门活动识别的危险源为办公场所</w:t>
            </w:r>
            <w:r>
              <w:rPr>
                <w:rFonts w:hint="eastAsia" w:eastAsia="方正楷体简体"/>
                <w:sz w:val="22"/>
              </w:rPr>
              <w:t>不按规定使用电安全、人员外出</w:t>
            </w:r>
            <w:r>
              <w:rPr>
                <w:rFonts w:hint="eastAsia"/>
                <w:szCs w:val="21"/>
              </w:rPr>
              <w:t>乘车发生车祸、天热引起中暑、人员疫情防控等。</w:t>
            </w:r>
          </w:p>
          <w:p>
            <w:pPr>
              <w:spacing w:line="280" w:lineRule="exact"/>
              <w:ind w:firstLine="420" w:firstLineChars="200"/>
              <w:rPr>
                <w:szCs w:val="21"/>
              </w:rPr>
            </w:pPr>
            <w:r>
              <w:rPr>
                <w:rFonts w:hint="eastAsia"/>
                <w:szCs w:val="21"/>
                <w:lang w:eastAsia="zh-CN"/>
              </w:rPr>
              <w:t>业务部</w:t>
            </w:r>
            <w:r>
              <w:rPr>
                <w:rFonts w:hint="eastAsia"/>
                <w:szCs w:val="21"/>
              </w:rPr>
              <w:t>活动识别的危险源未纳入公司制定的不可接受危险源控制范围内。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szCs w:val="21"/>
              </w:rPr>
              <w:t>O</w:t>
            </w:r>
            <w:r>
              <w:rPr>
                <w:rFonts w:hint="eastAsia"/>
                <w:szCs w:val="21"/>
              </w:rPr>
              <w:t>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在制定目标指标时，</w:t>
            </w:r>
            <w:r>
              <w:rPr>
                <w:rFonts w:hint="eastAsia" w:ascii="宋体" w:hAnsi="宋体" w:cs="宋体"/>
                <w:szCs w:val="21"/>
                <w:lang w:eastAsia="zh-CN"/>
              </w:rPr>
              <w:t>业务部</w:t>
            </w:r>
            <w:r>
              <w:rPr>
                <w:rFonts w:hint="eastAsia" w:ascii="宋体" w:hAnsi="宋体" w:cs="宋体"/>
                <w:szCs w:val="21"/>
              </w:rPr>
              <w:t>负责制定职业健康安全目标及管理方案，总经理负责批准。职业健康安全管理方案中明确为实现职业健康安全目标和指标的责任部门；规定实现职业健康安全目标和指标的时间；具体措施和经费预算；都由总经理批准。职业健康安全管理方案的实施，</w:t>
            </w:r>
            <w:r>
              <w:rPr>
                <w:rFonts w:hint="eastAsia" w:ascii="宋体" w:hAnsi="宋体" w:cs="宋体"/>
                <w:szCs w:val="21"/>
                <w:lang w:eastAsia="zh-CN"/>
              </w:rPr>
              <w:t>业务部</w:t>
            </w:r>
            <w:r>
              <w:rPr>
                <w:rFonts w:hint="eastAsia" w:ascii="宋体" w:hAnsi="宋体" w:cs="宋体"/>
                <w:szCs w:val="21"/>
              </w:rPr>
              <w:t>每半年对方案实施情况进行检查跟踪，向总经理报告；一般在管理评审之前对职业健康安全目标及管理方案由</w:t>
            </w:r>
            <w:r>
              <w:rPr>
                <w:rFonts w:hint="eastAsia" w:ascii="宋体" w:hAnsi="宋体" w:cs="宋体"/>
                <w:szCs w:val="21"/>
                <w:lang w:eastAsia="zh-CN"/>
              </w:rPr>
              <w:t>业务部</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相关的危险源管理措施按</w:t>
            </w:r>
            <w:r>
              <w:rPr>
                <w:rFonts w:hint="eastAsia" w:ascii="宋体" w:hAnsi="宋体" w:cs="宋体"/>
                <w:szCs w:val="21"/>
                <w:lang w:eastAsia="zh-CN"/>
              </w:rPr>
              <w:t>业务部</w:t>
            </w:r>
            <w:r>
              <w:rPr>
                <w:rFonts w:hint="eastAsia" w:ascii="宋体" w:hAnsi="宋体" w:cs="宋体"/>
                <w:szCs w:val="21"/>
              </w:rPr>
              <w:t>统一要求管理和实施，参加公司组织的安全教育；人员外出佩戴公司发的口罩；组织部门员工参加体检；加强对员工交通法规的宣传和自我保护意识；暑天人员外出配防暑用品等。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涉及的目标及实现情况是：</w:t>
            </w:r>
          </w:p>
          <w:p>
            <w:pPr>
              <w:ind w:firstLine="420" w:firstLineChars="200"/>
              <w:rPr>
                <w:rFonts w:ascii="宋体" w:hAnsi="宋体" w:cs="宋体"/>
                <w:szCs w:val="21"/>
              </w:rPr>
            </w:pPr>
            <w:r>
              <w:rPr>
                <w:rFonts w:hint="eastAsia" w:ascii="宋体" w:hAnsi="宋体" w:cs="宋体"/>
                <w:szCs w:val="21"/>
              </w:rPr>
              <w:t>1）顾客满意率≥95%；2）合同履约率100%；3）职业病</w:t>
            </w:r>
            <w:r>
              <w:rPr>
                <w:rFonts w:hint="eastAsia" w:ascii="宋体" w:hAnsi="宋体" w:cs="宋体"/>
                <w:szCs w:val="21"/>
                <w:lang w:eastAsia="zh-CN"/>
              </w:rPr>
              <w:t>、</w:t>
            </w:r>
            <w:r>
              <w:rPr>
                <w:rFonts w:hint="eastAsia" w:ascii="宋体" w:hAnsi="宋体" w:cs="宋体"/>
                <w:szCs w:val="21"/>
                <w:lang w:val="en-US" w:eastAsia="zh-CN"/>
              </w:rPr>
              <w:t>传染病</w:t>
            </w:r>
            <w:r>
              <w:rPr>
                <w:rFonts w:hint="eastAsia" w:ascii="宋体" w:hAnsi="宋体" w:cs="宋体"/>
                <w:szCs w:val="21"/>
              </w:rPr>
              <w:t>发生率0；4）</w:t>
            </w:r>
            <w:r>
              <w:rPr>
                <w:rFonts w:hint="eastAsia" w:ascii="宋体" w:hAnsi="宋体" w:cs="宋体"/>
                <w:szCs w:val="21"/>
                <w:lang w:val="en-US" w:eastAsia="zh-CN"/>
              </w:rPr>
              <w:t>顾客</w:t>
            </w:r>
            <w:r>
              <w:rPr>
                <w:rFonts w:hint="eastAsia" w:ascii="宋体" w:hAnsi="宋体" w:cs="宋体"/>
                <w:szCs w:val="21"/>
              </w:rPr>
              <w:t>投诉处理及时率≥99%</w:t>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日统计结果，目标均已完成。</w:t>
            </w:r>
          </w:p>
          <w:p>
            <w:pPr>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《危险源辨识与风险评价控制措施管理程序》</w:t>
            </w:r>
            <w:r>
              <w:rPr>
                <w:rFonts w:hint="eastAsia"/>
                <w:szCs w:val="21"/>
              </w:rPr>
              <w:t>识别的重要因素和重大危险制定管理措施，制定</w:t>
            </w:r>
            <w:r>
              <w:rPr>
                <w:rFonts w:hint="eastAsia" w:ascii="宋体" w:hAnsi="宋体" w:cs="宋体"/>
                <w:szCs w:val="21"/>
              </w:rPr>
              <w:t>《对相关方施加影响管理程序》等文件；由</w:t>
            </w:r>
            <w:r>
              <w:rPr>
                <w:rFonts w:hint="eastAsia" w:ascii="宋体" w:hAnsi="宋体" w:cs="宋体"/>
                <w:szCs w:val="21"/>
                <w:lang w:eastAsia="zh-CN"/>
              </w:rPr>
              <w:t>业务部</w:t>
            </w:r>
            <w:r>
              <w:rPr>
                <w:rFonts w:hint="eastAsia" w:ascii="宋体" w:hAnsi="宋体" w:cs="宋体"/>
                <w:szCs w:val="21"/>
              </w:rPr>
              <w:t>统一管理。基本不涉及重大法规要求的不可接受的和安全风险。</w:t>
            </w:r>
          </w:p>
          <w:p>
            <w:pPr>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编制与、安全管理体系运行控制有关的文件有《危险源辨识与风险评价控制措施管理程序》、《对相关方施加影响管理程序》等。</w:t>
            </w:r>
          </w:p>
          <w:p>
            <w:pPr>
              <w:spacing w:line="280" w:lineRule="exact"/>
              <w:ind w:firstLine="420" w:firstLineChars="200"/>
              <w:rPr>
                <w:szCs w:val="21"/>
              </w:rPr>
            </w:pPr>
            <w:r>
              <w:rPr>
                <w:rFonts w:hint="eastAsia"/>
                <w:szCs w:val="21"/>
              </w:rPr>
              <w:t>1、客户单位告知内容</w:t>
            </w:r>
          </w:p>
          <w:p>
            <w:pPr>
              <w:spacing w:line="280" w:lineRule="exact"/>
              <w:ind w:firstLine="420" w:firstLineChars="200"/>
              <w:rPr>
                <w:szCs w:val="21"/>
              </w:rPr>
            </w:pPr>
            <w:r>
              <w:rPr>
                <w:rFonts w:hint="eastAsia"/>
                <w:szCs w:val="21"/>
              </w:rPr>
              <w:t>产品使用说明书中列入因素和安全性告知内容。</w:t>
            </w:r>
          </w:p>
          <w:p>
            <w:pPr>
              <w:spacing w:line="280" w:lineRule="exact"/>
              <w:ind w:firstLine="420" w:firstLineChars="200"/>
              <w:rPr>
                <w:szCs w:val="21"/>
              </w:rPr>
            </w:pPr>
            <w:r>
              <w:rPr>
                <w:rFonts w:hint="eastAsia"/>
                <w:szCs w:val="21"/>
              </w:rPr>
              <w:t>2、办公场所因素和危险因素管理</w:t>
            </w:r>
          </w:p>
          <w:p>
            <w:pPr>
              <w:spacing w:line="280" w:lineRule="exact"/>
              <w:ind w:firstLine="420" w:firstLineChars="200"/>
              <w:rPr>
                <w:szCs w:val="21"/>
              </w:rPr>
            </w:pPr>
            <w:r>
              <w:rPr>
                <w:rFonts w:hint="eastAsia"/>
                <w:szCs w:val="21"/>
              </w:rPr>
              <w:t>办公现场按</w:t>
            </w:r>
            <w:r>
              <w:rPr>
                <w:rFonts w:hint="eastAsia"/>
                <w:szCs w:val="21"/>
                <w:lang w:eastAsia="zh-CN"/>
              </w:rPr>
              <w:t>业务部</w:t>
            </w:r>
            <w:r>
              <w:rPr>
                <w:rFonts w:hint="eastAsia"/>
                <w:szCs w:val="21"/>
              </w:rPr>
              <w:t>统一规定执行，用电和消防安全由</w:t>
            </w:r>
            <w:r>
              <w:rPr>
                <w:rFonts w:hint="eastAsia"/>
                <w:szCs w:val="21"/>
                <w:lang w:val="en-US" w:eastAsia="zh-CN"/>
              </w:rPr>
              <w:t>人和资源</w:t>
            </w:r>
            <w:r>
              <w:rPr>
                <w:rFonts w:hint="eastAsia"/>
                <w:szCs w:val="21"/>
                <w:lang w:eastAsia="zh-CN"/>
              </w:rPr>
              <w:t>部</w:t>
            </w:r>
            <w:r>
              <w:rPr>
                <w:rFonts w:hint="eastAsia"/>
                <w:szCs w:val="21"/>
              </w:rPr>
              <w:t>统一检查。</w:t>
            </w:r>
          </w:p>
          <w:p>
            <w:pPr>
              <w:spacing w:line="280" w:lineRule="exact"/>
              <w:ind w:firstLine="420" w:firstLineChars="200"/>
              <w:rPr>
                <w:szCs w:val="21"/>
              </w:rPr>
            </w:pPr>
            <w:r>
              <w:rPr>
                <w:rFonts w:hint="eastAsia"/>
                <w:szCs w:val="21"/>
              </w:rPr>
              <w:t>3、潜在火灾管控</w:t>
            </w:r>
          </w:p>
          <w:p>
            <w:pPr>
              <w:spacing w:line="280" w:lineRule="exact"/>
              <w:ind w:firstLine="420" w:firstLineChars="200"/>
              <w:rPr>
                <w:szCs w:val="21"/>
              </w:rPr>
            </w:pPr>
            <w:r>
              <w:rPr>
                <w:rFonts w:hint="eastAsia"/>
                <w:szCs w:val="21"/>
              </w:rPr>
              <w:t>公司现场配有灭火器和应急预案。</w:t>
            </w:r>
          </w:p>
          <w:p>
            <w:pPr>
              <w:spacing w:line="280" w:lineRule="exact"/>
              <w:ind w:firstLine="420" w:firstLineChars="200"/>
              <w:rPr>
                <w:szCs w:val="21"/>
              </w:rPr>
            </w:pPr>
            <w:r>
              <w:rPr>
                <w:rFonts w:hint="eastAsia"/>
                <w:szCs w:val="21"/>
              </w:rPr>
              <w:t>4、安全防护</w:t>
            </w:r>
            <w:bookmarkStart w:id="0" w:name="_GoBack"/>
            <w:bookmarkEnd w:id="0"/>
          </w:p>
          <w:p>
            <w:pPr>
              <w:spacing w:line="280" w:lineRule="exact"/>
              <w:ind w:firstLine="420"/>
              <w:rPr>
                <w:szCs w:val="21"/>
              </w:rPr>
            </w:pPr>
            <w:r>
              <w:rPr>
                <w:rFonts w:hint="eastAsia"/>
                <w:szCs w:val="21"/>
              </w:rPr>
              <w:t>高温外出，配置防暑药品。</w:t>
            </w:r>
          </w:p>
          <w:p>
            <w:pPr>
              <w:spacing w:line="280" w:lineRule="exact"/>
              <w:ind w:firstLine="420"/>
              <w:rPr>
                <w:szCs w:val="21"/>
              </w:rPr>
            </w:pPr>
            <w:r>
              <w:rPr>
                <w:rFonts w:hint="eastAsia"/>
                <w:szCs w:val="21"/>
              </w:rPr>
              <w:t>5、对相关方进行告知书发放。</w:t>
            </w:r>
          </w:p>
          <w:p>
            <w:pPr>
              <w:spacing w:line="280" w:lineRule="exact"/>
              <w:ind w:firstLine="420" w:firstLineChars="200"/>
              <w:rPr>
                <w:szCs w:val="21"/>
              </w:rPr>
            </w:pPr>
            <w:r>
              <w:rPr>
                <w:rFonts w:hint="eastAsia"/>
                <w:szCs w:val="21"/>
              </w:rPr>
              <w:t>疫情期间进出公司人员进行温度登记，查看健康码，公司给员工发放口罩等劳保用品。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spacing w:line="280" w:lineRule="exact"/>
              <w:ind w:firstLine="420" w:firstLineChars="200"/>
              <w:rPr>
                <w:rFonts w:ascii="Calibri" w:hAnsi="Calibri"/>
                <w:szCs w:val="21"/>
              </w:rPr>
            </w:pPr>
            <w:r>
              <w:rPr>
                <w:rFonts w:hint="eastAsia"/>
                <w:szCs w:val="21"/>
                <w:lang w:eastAsia="zh-CN"/>
              </w:rPr>
              <w:t>业务部</w:t>
            </w:r>
            <w:r>
              <w:rPr>
                <w:rFonts w:hint="eastAsia"/>
                <w:szCs w:val="21"/>
              </w:rPr>
              <w:t>参加公司举行的消防灭火演练，查</w:t>
            </w:r>
            <w:r>
              <w:rPr>
                <w:rFonts w:hint="eastAsia" w:ascii="Calibri" w:hAnsi="Calibri"/>
                <w:szCs w:val="21"/>
              </w:rPr>
              <w:t>应急演练记录。</w:t>
            </w:r>
          </w:p>
          <w:p>
            <w:pPr>
              <w:spacing w:line="280" w:lineRule="exact"/>
              <w:ind w:firstLine="420" w:firstLineChars="200"/>
              <w:rPr>
                <w:rFonts w:ascii="Calibri" w:hAnsi="Calibri"/>
                <w:szCs w:val="21"/>
              </w:rPr>
            </w:pPr>
            <w:r>
              <w:rPr>
                <w:rFonts w:hint="eastAsia"/>
                <w:szCs w:val="21"/>
              </w:rPr>
              <w:t>查消防灭火演练，地点厂区前空地，对演练过程进行了描述，由办公室统一对预案的有效性进行了评价。目前未发生火灾、人身伤害等事故。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22" w:type="dxa"/>
          </w:tcPr>
          <w:p>
            <w:pPr>
              <w:spacing w:line="280" w:lineRule="exact"/>
              <w:rPr>
                <w:b/>
                <w:color w:val="000000"/>
                <w:szCs w:val="21"/>
              </w:rPr>
            </w:pPr>
          </w:p>
        </w:tc>
        <w:tc>
          <w:tcPr>
            <w:tcW w:w="998" w:type="dxa"/>
          </w:tcPr>
          <w:p>
            <w:pPr>
              <w:spacing w:line="280" w:lineRule="exact"/>
              <w:rPr>
                <w:b/>
                <w:color w:val="000000"/>
                <w:szCs w:val="21"/>
              </w:rPr>
            </w:pPr>
          </w:p>
        </w:tc>
        <w:tc>
          <w:tcPr>
            <w:tcW w:w="10004" w:type="dxa"/>
          </w:tcPr>
          <w:p>
            <w:pPr>
              <w:spacing w:line="280" w:lineRule="exact"/>
              <w:ind w:firstLine="480"/>
              <w:rPr>
                <w:color w:val="000000"/>
                <w:szCs w:val="21"/>
              </w:rPr>
            </w:pP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Bijing Intrnational Standard unitd Crtification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16"/>
    <w:rsid w:val="00006A83"/>
    <w:rsid w:val="00011A1F"/>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E48ED"/>
    <w:rsid w:val="001F0E7B"/>
    <w:rsid w:val="00215D59"/>
    <w:rsid w:val="002533F4"/>
    <w:rsid w:val="00271E4E"/>
    <w:rsid w:val="00273847"/>
    <w:rsid w:val="002871F4"/>
    <w:rsid w:val="00287457"/>
    <w:rsid w:val="002B36EC"/>
    <w:rsid w:val="002C22A6"/>
    <w:rsid w:val="002C734F"/>
    <w:rsid w:val="002E29A0"/>
    <w:rsid w:val="002E55EA"/>
    <w:rsid w:val="002F05BD"/>
    <w:rsid w:val="003015FB"/>
    <w:rsid w:val="003273C2"/>
    <w:rsid w:val="003445A0"/>
    <w:rsid w:val="003541E0"/>
    <w:rsid w:val="00364D71"/>
    <w:rsid w:val="00382525"/>
    <w:rsid w:val="00384FEF"/>
    <w:rsid w:val="00397D3F"/>
    <w:rsid w:val="003C12BB"/>
    <w:rsid w:val="003C254E"/>
    <w:rsid w:val="003E434A"/>
    <w:rsid w:val="0042030E"/>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1EE9"/>
    <w:rsid w:val="005D2531"/>
    <w:rsid w:val="00621EA2"/>
    <w:rsid w:val="006256EF"/>
    <w:rsid w:val="00646303"/>
    <w:rsid w:val="0066353B"/>
    <w:rsid w:val="00663A52"/>
    <w:rsid w:val="00672093"/>
    <w:rsid w:val="00672CC5"/>
    <w:rsid w:val="00680222"/>
    <w:rsid w:val="006842EC"/>
    <w:rsid w:val="006E4E1C"/>
    <w:rsid w:val="006F2650"/>
    <w:rsid w:val="006F2C8A"/>
    <w:rsid w:val="00713961"/>
    <w:rsid w:val="00715292"/>
    <w:rsid w:val="007469D5"/>
    <w:rsid w:val="0075560B"/>
    <w:rsid w:val="00756C63"/>
    <w:rsid w:val="00761387"/>
    <w:rsid w:val="00774749"/>
    <w:rsid w:val="00777827"/>
    <w:rsid w:val="007861D2"/>
    <w:rsid w:val="007B4035"/>
    <w:rsid w:val="007B4E33"/>
    <w:rsid w:val="007C5A7D"/>
    <w:rsid w:val="007C6A31"/>
    <w:rsid w:val="007E6050"/>
    <w:rsid w:val="00814B16"/>
    <w:rsid w:val="008242EA"/>
    <w:rsid w:val="008265BB"/>
    <w:rsid w:val="00834CE8"/>
    <w:rsid w:val="0085042B"/>
    <w:rsid w:val="00860763"/>
    <w:rsid w:val="008631F9"/>
    <w:rsid w:val="008667F0"/>
    <w:rsid w:val="008A1509"/>
    <w:rsid w:val="008B3B2F"/>
    <w:rsid w:val="008C01A2"/>
    <w:rsid w:val="008D2E87"/>
    <w:rsid w:val="008D3475"/>
    <w:rsid w:val="00915119"/>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BC0A8A"/>
    <w:rsid w:val="00BF2BFE"/>
    <w:rsid w:val="00C277AC"/>
    <w:rsid w:val="00C41F32"/>
    <w:rsid w:val="00C4272D"/>
    <w:rsid w:val="00C44388"/>
    <w:rsid w:val="00C53433"/>
    <w:rsid w:val="00C60EB8"/>
    <w:rsid w:val="00C827AA"/>
    <w:rsid w:val="00C856E9"/>
    <w:rsid w:val="00C94573"/>
    <w:rsid w:val="00CA1BE3"/>
    <w:rsid w:val="00CD1E5C"/>
    <w:rsid w:val="00CD4ED7"/>
    <w:rsid w:val="00CD58BC"/>
    <w:rsid w:val="00D05DB2"/>
    <w:rsid w:val="00D3466A"/>
    <w:rsid w:val="00D6037A"/>
    <w:rsid w:val="00D937E0"/>
    <w:rsid w:val="00DE1A2C"/>
    <w:rsid w:val="00DE2FCE"/>
    <w:rsid w:val="00DF19AB"/>
    <w:rsid w:val="00E0114F"/>
    <w:rsid w:val="00E11BD3"/>
    <w:rsid w:val="00E17655"/>
    <w:rsid w:val="00E219A3"/>
    <w:rsid w:val="00E41911"/>
    <w:rsid w:val="00E53DF0"/>
    <w:rsid w:val="00E556FE"/>
    <w:rsid w:val="00E701A1"/>
    <w:rsid w:val="00E707CA"/>
    <w:rsid w:val="00E944DC"/>
    <w:rsid w:val="00E97654"/>
    <w:rsid w:val="00EA2EA2"/>
    <w:rsid w:val="00EB1A5C"/>
    <w:rsid w:val="00EB6AAC"/>
    <w:rsid w:val="00EC3C4C"/>
    <w:rsid w:val="00ED41DC"/>
    <w:rsid w:val="00EF78EA"/>
    <w:rsid w:val="00F000A1"/>
    <w:rsid w:val="00F01F3E"/>
    <w:rsid w:val="00F05246"/>
    <w:rsid w:val="00F058E6"/>
    <w:rsid w:val="00F11424"/>
    <w:rsid w:val="00F13731"/>
    <w:rsid w:val="00F43CC1"/>
    <w:rsid w:val="00F5455B"/>
    <w:rsid w:val="00F62C59"/>
    <w:rsid w:val="00FB5026"/>
    <w:rsid w:val="00FB6FAA"/>
    <w:rsid w:val="00FF0A51"/>
    <w:rsid w:val="00FF1D21"/>
    <w:rsid w:val="04FD67D8"/>
    <w:rsid w:val="050E5D79"/>
    <w:rsid w:val="0A755CD1"/>
    <w:rsid w:val="11B844E6"/>
    <w:rsid w:val="2040422A"/>
    <w:rsid w:val="233E7107"/>
    <w:rsid w:val="41756FF7"/>
    <w:rsid w:val="41FA7D1A"/>
    <w:rsid w:val="43F34393"/>
    <w:rsid w:val="4DED56EF"/>
    <w:rsid w:val="4DF42216"/>
    <w:rsid w:val="50964725"/>
    <w:rsid w:val="588D2706"/>
    <w:rsid w:val="5C894199"/>
    <w:rsid w:val="674154A3"/>
    <w:rsid w:val="6EB80EC0"/>
    <w:rsid w:val="747D06DB"/>
    <w:rsid w:val="75B86B30"/>
    <w:rsid w:val="78214DF5"/>
    <w:rsid w:val="7CA226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1419</Characters>
  <Lines>11</Lines>
  <Paragraphs>3</Paragraphs>
  <TotalTime>4</TotalTime>
  <ScaleCrop>false</ScaleCrop>
  <LinksUpToDate>false</LinksUpToDate>
  <CharactersWithSpaces>1664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2021-01-26T02:21:32Z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