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t>管理体系审核记录表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  <w:lang w:val="en-US" w:eastAsia="zh-CN"/>
        </w:rPr>
        <w:t>1</w:t>
      </w:r>
    </w:p>
    <w:tbl>
      <w:tblPr>
        <w:tblStyle w:val="17"/>
        <w:tblW w:w="14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965"/>
        <w:gridCol w:w="10927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73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抽样计划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0927" w:type="dxa"/>
            <w:vAlign w:val="center"/>
          </w:tcPr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受审核部门：</w:t>
            </w:r>
            <w:r>
              <w:rPr>
                <w:rFonts w:hint="eastAsia"/>
                <w:highlight w:val="none"/>
                <w:lang w:val="en-US" w:eastAsia="zh-CN"/>
              </w:rPr>
              <w:t>财务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部</w:t>
            </w:r>
            <w:r>
              <w:rPr>
                <w:rFonts w:ascii="Times New Roman" w:hAnsi="Times New Roman"/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highlight w:val="none"/>
              </w:rPr>
              <w:t>主管领导：</w:t>
            </w:r>
            <w:r>
              <w:rPr>
                <w:rFonts w:hint="eastAsia"/>
                <w:highlight w:val="none"/>
                <w:lang w:val="en-US" w:eastAsia="zh-CN"/>
              </w:rPr>
              <w:t>於清岳</w:t>
            </w:r>
            <w:r>
              <w:rPr>
                <w:rFonts w:hint="eastAsia" w:ascii="Times New Roman" w:hAnsi="Times New Roman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highlight w:val="none"/>
              </w:rPr>
              <w:t xml:space="preserve"> 陪同人员：</w:t>
            </w:r>
            <w:r>
              <w:rPr>
                <w:rFonts w:hint="eastAsia"/>
                <w:highlight w:val="none"/>
                <w:lang w:val="en-US" w:eastAsia="zh-CN"/>
              </w:rPr>
              <w:t>薛学舜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林兵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2021年1月26-28日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7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927" w:type="dxa"/>
            <w:vAlign w:val="center"/>
          </w:tcPr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、6.2质量目标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EO:6.1.2环境因素/危险源的辨识与评价、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7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岗位、职责、权限、责任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QEO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:5.3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27" w:type="dxa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部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负责人：</w:t>
            </w:r>
            <w:r>
              <w:rPr>
                <w:rFonts w:hint="eastAsia"/>
                <w:highlight w:val="none"/>
                <w:lang w:val="en-US" w:eastAsia="zh-CN"/>
              </w:rPr>
              <w:t>於清岳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F09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查《管理手册》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附录3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规定了本部门的职责和权限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目标、指标及完成情况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Q:6.2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2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sym w:font="Wingdings 2" w:char="F098"/>
            </w:r>
            <w:r>
              <w:rPr>
                <w:rFonts w:hint="eastAsia"/>
                <w:color w:val="auto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门质量目标：                      </w:t>
            </w:r>
          </w:p>
          <w:tbl>
            <w:tblPr>
              <w:tblStyle w:val="18"/>
              <w:tblW w:w="107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7"/>
              <w:gridCol w:w="2678"/>
              <w:gridCol w:w="2678"/>
              <w:gridCol w:w="26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部门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 xml:space="preserve">           分目标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考核方法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统计结果</w:t>
                  </w:r>
                  <w:r>
                    <w:rPr>
                      <w:rFonts w:hint="eastAsia" w:ascii="黑体" w:hAnsi="黑体" w:eastAsia="黑体" w:cs="黑体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77" w:type="dxa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财务部</w:t>
                  </w:r>
                </w:p>
                <w:p>
                  <w:pPr>
                    <w:pStyle w:val="2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</w:rPr>
                    <w:t>1.</w:t>
                  </w:r>
                  <w:r>
                    <w:rPr>
                      <w:rFonts w:hint="eastAsia" w:ascii="黑体" w:hAnsi="黑体" w:eastAsia="黑体" w:cs="黑体"/>
                    </w:rPr>
                    <w:t xml:space="preserve"> 分类处理各类废弃物，有专门收集箱并标识，100%分类回收处理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Cs w:val="21"/>
                    </w:rPr>
                    <w:t>处理率＝回收处理数÷应回处理总数×100%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7" w:type="dxa"/>
                  <w:vMerge w:val="continue"/>
                </w:tcPr>
                <w:p>
                  <w:pPr>
                    <w:pStyle w:val="2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</w:rPr>
                    <w:t>2.资金按时投入率100%.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pStyle w:val="9"/>
                    <w:spacing w:before="60" w:beforeLines="15" w:after="60" w:afterLines="15" w:line="0" w:lineRule="atLeast"/>
                    <w:ind w:left="420" w:leftChars="200"/>
                    <w:rPr>
                      <w:rFonts w:hint="eastAsia" w:ascii="黑体" w:hAnsi="黑体" w:eastAsia="黑体" w:cs="黑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1"/>
                      <w:szCs w:val="21"/>
                    </w:rPr>
                    <w:t>按时投入率＝应投入资金×100%</w:t>
                  </w:r>
                </w:p>
              </w:tc>
              <w:tc>
                <w:tcPr>
                  <w:tcW w:w="2678" w:type="dxa"/>
                  <w:vAlign w:val="center"/>
                </w:tcPr>
                <w:p>
                  <w:pPr>
                    <w:pStyle w:val="9"/>
                    <w:spacing w:before="60" w:beforeLines="15" w:after="60" w:afterLines="15" w:line="0" w:lineRule="atLeast"/>
                    <w:ind w:left="420" w:leftChars="200"/>
                    <w:jc w:val="center"/>
                    <w:rPr>
                      <w:rFonts w:hint="eastAsia" w:ascii="黑体" w:hAnsi="黑体" w:eastAsia="黑体" w:cs="黑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看2020年1月5日，目标考核情况，已经达成目标。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风险管控的策划和实施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QEO6.1</w:t>
            </w:r>
          </w:p>
        </w:tc>
        <w:tc>
          <w:tcPr>
            <w:tcW w:w="10927" w:type="dxa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公司编制了《风险和机遇分析、评价和应对措施的确定程序》。 风险管理流程：风险识别——风险评估——风险响应——风险控制。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提供风险和机遇评估分析表,对识别的风险和机遇进行评估，并制定了应对风险及机遇的措施。措施有效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7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环境因素识别，危险源辨识、风险评估及控制措施</w:t>
            </w:r>
          </w:p>
        </w:tc>
        <w:tc>
          <w:tcPr>
            <w:tcW w:w="9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EO:6.1.2/6.1.4</w:t>
            </w:r>
          </w:p>
        </w:tc>
        <w:tc>
          <w:tcPr>
            <w:tcW w:w="10927" w:type="dxa"/>
            <w:vAlign w:val="top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详见项目部有关办公场所的环境因素识别记录及措施。</w:t>
            </w:r>
          </w:p>
        </w:tc>
        <w:tc>
          <w:tcPr>
            <w:tcW w:w="732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73" w:type="dxa"/>
            <w:vAlign w:val="top"/>
          </w:tcPr>
          <w:p>
            <w:pPr>
              <w:spacing w:line="360" w:lineRule="auto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运行策划和控制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6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</w:rPr>
              <w:t>E</w:t>
            </w:r>
            <w:r>
              <w:rPr>
                <w:szCs w:val="21"/>
                <w:u w:val="none"/>
              </w:rPr>
              <w:t>O</w:t>
            </w:r>
            <w:r>
              <w:rPr>
                <w:rFonts w:hint="eastAsia"/>
                <w:szCs w:val="21"/>
                <w:u w:val="none"/>
              </w:rPr>
              <w:t>8.1</w:t>
            </w:r>
          </w:p>
        </w:tc>
        <w:tc>
          <w:tcPr>
            <w:tcW w:w="1092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参与</w:t>
            </w:r>
            <w:bookmarkStart w:id="0" w:name="_GoBack"/>
            <w:bookmarkEnd w:id="0"/>
            <w:r>
              <w:rPr>
                <w:rFonts w:hint="eastAsia"/>
              </w:rPr>
              <w:t>安全管理体系运行控制有关的文件有《危险源辨识与风险评价控制措施管理程序》、《对相关方施加影响管理程序》等。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办公现场按</w:t>
            </w:r>
            <w:r>
              <w:rPr>
                <w:rFonts w:hint="eastAsia"/>
                <w:szCs w:val="21"/>
                <w:lang w:eastAsia="zh-CN"/>
              </w:rPr>
              <w:t>采购部</w:t>
            </w:r>
            <w:r>
              <w:rPr>
                <w:rFonts w:hint="eastAsia"/>
                <w:szCs w:val="21"/>
              </w:rPr>
              <w:t>统一规定执行，用电和消防安全由</w:t>
            </w:r>
            <w:r>
              <w:rPr>
                <w:rFonts w:hint="eastAsia"/>
                <w:szCs w:val="21"/>
                <w:lang w:eastAsia="zh-CN"/>
              </w:rPr>
              <w:t>采购部</w:t>
            </w:r>
            <w:r>
              <w:rPr>
                <w:rFonts w:hint="eastAsia"/>
                <w:szCs w:val="21"/>
              </w:rPr>
              <w:t>统一检查。</w:t>
            </w:r>
          </w:p>
          <w:p>
            <w:pPr>
              <w:pStyle w:val="2"/>
              <w:numPr>
                <w:numId w:val="0"/>
              </w:numPr>
              <w:ind w:left="375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费用投入</w:t>
            </w:r>
          </w:p>
          <w:p>
            <w:pPr>
              <w:pStyle w:val="2"/>
              <w:numPr>
                <w:ilvl w:val="0"/>
                <w:numId w:val="0"/>
              </w:numPr>
              <w:ind w:left="375" w:leftChars="0"/>
              <w:rPr>
                <w:rFonts w:hint="eastAsia" w:ascii="Times New Roman" w:hAnsi="Times New Roman" w:eastAsia="黑体" w:cs="Times New Roman"/>
                <w:bCs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用于员工口罩、手套等劳保用品年投入约27多万元。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73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u w:val="none"/>
              </w:rPr>
              <w:t>应急响应和准备</w:t>
            </w:r>
          </w:p>
        </w:tc>
        <w:tc>
          <w:tcPr>
            <w:tcW w:w="96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</w:rPr>
              <w:t>E</w:t>
            </w:r>
            <w:r>
              <w:rPr>
                <w:szCs w:val="21"/>
                <w:u w:val="none"/>
              </w:rPr>
              <w:t>O</w:t>
            </w:r>
            <w:r>
              <w:rPr>
                <w:rFonts w:hint="eastAsia"/>
                <w:szCs w:val="21"/>
                <w:u w:val="none"/>
              </w:rPr>
              <w:t>8.2</w:t>
            </w:r>
          </w:p>
        </w:tc>
        <w:tc>
          <w:tcPr>
            <w:tcW w:w="10927" w:type="dxa"/>
            <w:vAlign w:val="center"/>
          </w:tcPr>
          <w:p>
            <w:pPr>
              <w:pStyle w:val="28"/>
              <w:spacing w:line="360" w:lineRule="auto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</w:rPr>
              <w:t>编制了《应急准备和响应管理程序》，查看内容基本符合要求。</w:t>
            </w:r>
          </w:p>
          <w:p>
            <w:pPr>
              <w:pStyle w:val="28"/>
              <w:spacing w:line="360" w:lineRule="auto"/>
              <w:ind w:firstLineChars="0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按公司的</w:t>
            </w:r>
            <w:r>
              <w:rPr>
                <w:rFonts w:hint="eastAsia"/>
                <w:sz w:val="21"/>
                <w:szCs w:val="21"/>
                <w:u w:val="none"/>
              </w:rPr>
              <w:t>应急预案包括触电、火灾、中暑等应急预案。</w:t>
            </w:r>
          </w:p>
          <w:p>
            <w:pPr>
              <w:pStyle w:val="28"/>
              <w:spacing w:line="360" w:lineRule="auto"/>
              <w:ind w:firstLineChars="0"/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  <w:t>部门参加公司进行了消防灭火和触电演练。</w:t>
            </w:r>
          </w:p>
          <w:p>
            <w:pPr>
              <w:pStyle w:val="28"/>
              <w:spacing w:line="360" w:lineRule="auto"/>
              <w:ind w:firstLine="420" w:firstLineChars="0"/>
              <w:rPr>
                <w:rFonts w:hint="eastAsia" w:ascii="Calibri" w:hAnsi="Calibri" w:eastAsia="宋体" w:cs="Times New Roman"/>
                <w:kern w:val="2"/>
                <w:sz w:val="24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u w:val="none"/>
                <w:lang w:val="en-US" w:eastAsia="zh-CN"/>
              </w:rPr>
              <w:t>部门目前未发生火灾、触电人身伤害等事故。</w:t>
            </w:r>
          </w:p>
        </w:tc>
        <w:tc>
          <w:tcPr>
            <w:tcW w:w="73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4"/>
        <w:rFonts w:hint="default"/>
      </w:rPr>
      <w:t>北京国标联合认证有限公司</w:t>
    </w:r>
    <w:r>
      <w:rPr>
        <w:rStyle w:val="24"/>
        <w:rFonts w:hint="default"/>
      </w:rPr>
      <w:tab/>
    </w:r>
    <w:r>
      <w:rPr>
        <w:rStyle w:val="24"/>
        <w:rFonts w:hint="default"/>
      </w:rPr>
      <w:tab/>
    </w:r>
    <w:r>
      <w:rPr>
        <w:rStyle w:val="24"/>
        <w:rFonts w:hint="default"/>
      </w:rPr>
      <w:tab/>
    </w:r>
  </w:p>
  <w:p>
    <w:pPr>
      <w:pStyle w:val="13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24"/>
        <w:rFonts w:hint="default"/>
        <w:w w:val="90"/>
      </w:rPr>
      <w:t>Beijing International Standard united Certification Co.,Ltd.</w:t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DEA"/>
    <w:multiLevelType w:val="multilevel"/>
    <w:tmpl w:val="0DB92DEA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425" w:hanging="425"/>
      </w:pPr>
      <w:rPr>
        <w:rFonts w:hint="default" w:ascii="Calibri" w:hAnsi="Calibri" w:cs="Calibri"/>
        <w:sz w:val="32"/>
        <w:szCs w:val="32"/>
      </w:rPr>
    </w:lvl>
    <w:lvl w:ilvl="2" w:tentative="0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418" w:hanging="567"/>
      </w:pPr>
      <w:rPr>
        <w:rFonts w:hint="eastAsia"/>
        <w:b/>
      </w:rPr>
    </w:lvl>
    <w:lvl w:ilvl="4" w:tentative="0">
      <w:start w:val="1"/>
      <w:numFmt w:val="decimal"/>
      <w:suff w:val="space"/>
      <w:lvlText w:val="%1.%2.%3.%4.%5"/>
      <w:lvlJc w:val="left"/>
      <w:pPr>
        <w:ind w:left="2835" w:hanging="709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2693" w:hanging="99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3905"/>
    <w:rsid w:val="007B3DAF"/>
    <w:rsid w:val="00DB72B2"/>
    <w:rsid w:val="00ED266B"/>
    <w:rsid w:val="00F43426"/>
    <w:rsid w:val="00F72ABE"/>
    <w:rsid w:val="010F4C60"/>
    <w:rsid w:val="01E3771F"/>
    <w:rsid w:val="024F1167"/>
    <w:rsid w:val="027A5C11"/>
    <w:rsid w:val="02B74B3F"/>
    <w:rsid w:val="03314A7D"/>
    <w:rsid w:val="03971E0B"/>
    <w:rsid w:val="03BF4DF3"/>
    <w:rsid w:val="04476F14"/>
    <w:rsid w:val="0458744E"/>
    <w:rsid w:val="050D203E"/>
    <w:rsid w:val="050F7AD6"/>
    <w:rsid w:val="0515091E"/>
    <w:rsid w:val="056F513E"/>
    <w:rsid w:val="05F12FC1"/>
    <w:rsid w:val="06184BB3"/>
    <w:rsid w:val="06276BA1"/>
    <w:rsid w:val="071E0BD8"/>
    <w:rsid w:val="071E5396"/>
    <w:rsid w:val="07252F75"/>
    <w:rsid w:val="07511AB9"/>
    <w:rsid w:val="077168B6"/>
    <w:rsid w:val="07760118"/>
    <w:rsid w:val="07DD4098"/>
    <w:rsid w:val="08151499"/>
    <w:rsid w:val="08193D3A"/>
    <w:rsid w:val="085F30D4"/>
    <w:rsid w:val="0872572E"/>
    <w:rsid w:val="0875081F"/>
    <w:rsid w:val="08870786"/>
    <w:rsid w:val="08F215E2"/>
    <w:rsid w:val="09296E07"/>
    <w:rsid w:val="09B01C49"/>
    <w:rsid w:val="09E31136"/>
    <w:rsid w:val="09EB1CAA"/>
    <w:rsid w:val="0A165B13"/>
    <w:rsid w:val="0A7372D5"/>
    <w:rsid w:val="0AAD3E63"/>
    <w:rsid w:val="0ABE51AD"/>
    <w:rsid w:val="0B063520"/>
    <w:rsid w:val="0B59105B"/>
    <w:rsid w:val="0BED6A15"/>
    <w:rsid w:val="0C1A06B5"/>
    <w:rsid w:val="0C361B65"/>
    <w:rsid w:val="0C3B40FC"/>
    <w:rsid w:val="0CE5132C"/>
    <w:rsid w:val="0D0518EE"/>
    <w:rsid w:val="0D444194"/>
    <w:rsid w:val="0D4B347F"/>
    <w:rsid w:val="0D570C8A"/>
    <w:rsid w:val="0DDC4A26"/>
    <w:rsid w:val="0E04283D"/>
    <w:rsid w:val="0F033D06"/>
    <w:rsid w:val="0F9C26D4"/>
    <w:rsid w:val="10146BF1"/>
    <w:rsid w:val="104F6DAF"/>
    <w:rsid w:val="107D501B"/>
    <w:rsid w:val="10B27CAD"/>
    <w:rsid w:val="11273C0B"/>
    <w:rsid w:val="1174748E"/>
    <w:rsid w:val="11915D99"/>
    <w:rsid w:val="11EC7CB4"/>
    <w:rsid w:val="120C44D2"/>
    <w:rsid w:val="121C34B5"/>
    <w:rsid w:val="130F1D4C"/>
    <w:rsid w:val="134C3D0E"/>
    <w:rsid w:val="138C3317"/>
    <w:rsid w:val="13A84DED"/>
    <w:rsid w:val="13B66175"/>
    <w:rsid w:val="13ED22A6"/>
    <w:rsid w:val="13FB79B0"/>
    <w:rsid w:val="140B4438"/>
    <w:rsid w:val="14496629"/>
    <w:rsid w:val="1492636B"/>
    <w:rsid w:val="14A062F4"/>
    <w:rsid w:val="16890A8B"/>
    <w:rsid w:val="16D67ED2"/>
    <w:rsid w:val="16E26F0E"/>
    <w:rsid w:val="16F02E90"/>
    <w:rsid w:val="17062B69"/>
    <w:rsid w:val="182164BB"/>
    <w:rsid w:val="188972CF"/>
    <w:rsid w:val="18B95C0D"/>
    <w:rsid w:val="18D068A4"/>
    <w:rsid w:val="19122210"/>
    <w:rsid w:val="194A1301"/>
    <w:rsid w:val="195576C8"/>
    <w:rsid w:val="19CA6AEA"/>
    <w:rsid w:val="1A4A1F1B"/>
    <w:rsid w:val="1AB22DB0"/>
    <w:rsid w:val="1B04548A"/>
    <w:rsid w:val="1B3A1DD3"/>
    <w:rsid w:val="1C4D73A6"/>
    <w:rsid w:val="1C984EA9"/>
    <w:rsid w:val="1CF54D0D"/>
    <w:rsid w:val="1D173593"/>
    <w:rsid w:val="1D5510E6"/>
    <w:rsid w:val="1D8927A9"/>
    <w:rsid w:val="1DAA697C"/>
    <w:rsid w:val="1DBC259A"/>
    <w:rsid w:val="1DFC4614"/>
    <w:rsid w:val="1E57661E"/>
    <w:rsid w:val="1E8D2F4B"/>
    <w:rsid w:val="1F5A25AA"/>
    <w:rsid w:val="1F87166B"/>
    <w:rsid w:val="20093412"/>
    <w:rsid w:val="20221AB6"/>
    <w:rsid w:val="20641CD2"/>
    <w:rsid w:val="206D5617"/>
    <w:rsid w:val="209C2F82"/>
    <w:rsid w:val="20D87DD3"/>
    <w:rsid w:val="21333CB9"/>
    <w:rsid w:val="215B5EE3"/>
    <w:rsid w:val="2170552A"/>
    <w:rsid w:val="21725EAA"/>
    <w:rsid w:val="21BD1856"/>
    <w:rsid w:val="21F775B6"/>
    <w:rsid w:val="21FE778F"/>
    <w:rsid w:val="222511D3"/>
    <w:rsid w:val="222A7E1E"/>
    <w:rsid w:val="22A33E3D"/>
    <w:rsid w:val="23C53F61"/>
    <w:rsid w:val="24AF1061"/>
    <w:rsid w:val="2528193B"/>
    <w:rsid w:val="25444A65"/>
    <w:rsid w:val="264941D1"/>
    <w:rsid w:val="26703415"/>
    <w:rsid w:val="268F7A4C"/>
    <w:rsid w:val="26A21C12"/>
    <w:rsid w:val="26E32CAC"/>
    <w:rsid w:val="27416481"/>
    <w:rsid w:val="276F23A0"/>
    <w:rsid w:val="277F67AF"/>
    <w:rsid w:val="27C231BC"/>
    <w:rsid w:val="280C386E"/>
    <w:rsid w:val="283C5AAF"/>
    <w:rsid w:val="28AC6FA1"/>
    <w:rsid w:val="28AD7F2A"/>
    <w:rsid w:val="290772D8"/>
    <w:rsid w:val="29526A59"/>
    <w:rsid w:val="29991719"/>
    <w:rsid w:val="29DB75AB"/>
    <w:rsid w:val="2A0F693C"/>
    <w:rsid w:val="2A4B79CF"/>
    <w:rsid w:val="2A583BDC"/>
    <w:rsid w:val="2B846F6E"/>
    <w:rsid w:val="2BDE2DFD"/>
    <w:rsid w:val="2C1F26D0"/>
    <w:rsid w:val="2C3D292E"/>
    <w:rsid w:val="2C477944"/>
    <w:rsid w:val="2C681735"/>
    <w:rsid w:val="2CB46FDB"/>
    <w:rsid w:val="2DFB27B7"/>
    <w:rsid w:val="2E8F0340"/>
    <w:rsid w:val="2ED42FAB"/>
    <w:rsid w:val="2F366741"/>
    <w:rsid w:val="325B5177"/>
    <w:rsid w:val="32625B19"/>
    <w:rsid w:val="32FA5B66"/>
    <w:rsid w:val="33077788"/>
    <w:rsid w:val="33803AE5"/>
    <w:rsid w:val="33DA419B"/>
    <w:rsid w:val="340D5819"/>
    <w:rsid w:val="34C2320E"/>
    <w:rsid w:val="34FD6C4E"/>
    <w:rsid w:val="357F7BE6"/>
    <w:rsid w:val="359E5DA6"/>
    <w:rsid w:val="36292E46"/>
    <w:rsid w:val="36C67F48"/>
    <w:rsid w:val="36FE6ED4"/>
    <w:rsid w:val="370C0EF6"/>
    <w:rsid w:val="37A03B9A"/>
    <w:rsid w:val="38871868"/>
    <w:rsid w:val="38C773A4"/>
    <w:rsid w:val="38D65753"/>
    <w:rsid w:val="39824704"/>
    <w:rsid w:val="39A15878"/>
    <w:rsid w:val="39AD5135"/>
    <w:rsid w:val="39F545FE"/>
    <w:rsid w:val="3A7733B5"/>
    <w:rsid w:val="3A8F42DA"/>
    <w:rsid w:val="3ACC739E"/>
    <w:rsid w:val="3AF251B7"/>
    <w:rsid w:val="3AFD3559"/>
    <w:rsid w:val="3B1825C5"/>
    <w:rsid w:val="3B320E51"/>
    <w:rsid w:val="3B8023A1"/>
    <w:rsid w:val="3B8519B2"/>
    <w:rsid w:val="3B874061"/>
    <w:rsid w:val="3C676135"/>
    <w:rsid w:val="3CB60938"/>
    <w:rsid w:val="3D0E3869"/>
    <w:rsid w:val="3D586B1B"/>
    <w:rsid w:val="3EB82705"/>
    <w:rsid w:val="3EC5675F"/>
    <w:rsid w:val="3F767015"/>
    <w:rsid w:val="40543EF5"/>
    <w:rsid w:val="405F7DF3"/>
    <w:rsid w:val="408A5C74"/>
    <w:rsid w:val="40CC02CC"/>
    <w:rsid w:val="40D031F2"/>
    <w:rsid w:val="40D83E9F"/>
    <w:rsid w:val="40E4142D"/>
    <w:rsid w:val="41736CE5"/>
    <w:rsid w:val="41982DB7"/>
    <w:rsid w:val="419D4385"/>
    <w:rsid w:val="420F0402"/>
    <w:rsid w:val="43126C97"/>
    <w:rsid w:val="431E0008"/>
    <w:rsid w:val="434D13B2"/>
    <w:rsid w:val="437753D5"/>
    <w:rsid w:val="43B70C81"/>
    <w:rsid w:val="44292AD4"/>
    <w:rsid w:val="4469254F"/>
    <w:rsid w:val="44B27C2A"/>
    <w:rsid w:val="451A3510"/>
    <w:rsid w:val="46300AAA"/>
    <w:rsid w:val="469B1CAE"/>
    <w:rsid w:val="46AE5FF3"/>
    <w:rsid w:val="46D5516E"/>
    <w:rsid w:val="4732799B"/>
    <w:rsid w:val="474D75E2"/>
    <w:rsid w:val="48150E11"/>
    <w:rsid w:val="48212EC4"/>
    <w:rsid w:val="4862186A"/>
    <w:rsid w:val="48B614A6"/>
    <w:rsid w:val="48CB5056"/>
    <w:rsid w:val="49370AB5"/>
    <w:rsid w:val="4A0C4B1D"/>
    <w:rsid w:val="4B031B7A"/>
    <w:rsid w:val="4BA4167F"/>
    <w:rsid w:val="4BF806A6"/>
    <w:rsid w:val="4C540BEC"/>
    <w:rsid w:val="4C6427BD"/>
    <w:rsid w:val="4CE66527"/>
    <w:rsid w:val="4D221E11"/>
    <w:rsid w:val="4D271D07"/>
    <w:rsid w:val="4D4D6563"/>
    <w:rsid w:val="4E230FE8"/>
    <w:rsid w:val="4E3C6E2B"/>
    <w:rsid w:val="4E3E4E22"/>
    <w:rsid w:val="4E4832CD"/>
    <w:rsid w:val="4E835676"/>
    <w:rsid w:val="4F0F48AA"/>
    <w:rsid w:val="4FB9214A"/>
    <w:rsid w:val="4FC5339D"/>
    <w:rsid w:val="4FC66683"/>
    <w:rsid w:val="4FD23DCD"/>
    <w:rsid w:val="4FE20E43"/>
    <w:rsid w:val="50243E54"/>
    <w:rsid w:val="50425DAA"/>
    <w:rsid w:val="50A713CB"/>
    <w:rsid w:val="513405CC"/>
    <w:rsid w:val="513813F3"/>
    <w:rsid w:val="515A41FC"/>
    <w:rsid w:val="519B1D3C"/>
    <w:rsid w:val="524D2A61"/>
    <w:rsid w:val="527E73EA"/>
    <w:rsid w:val="527F5A28"/>
    <w:rsid w:val="52802927"/>
    <w:rsid w:val="53604C26"/>
    <w:rsid w:val="54431A0E"/>
    <w:rsid w:val="54552B6D"/>
    <w:rsid w:val="54D44AC7"/>
    <w:rsid w:val="553F67DC"/>
    <w:rsid w:val="55CE15C1"/>
    <w:rsid w:val="56112655"/>
    <w:rsid w:val="56A42262"/>
    <w:rsid w:val="5711455E"/>
    <w:rsid w:val="57802FAE"/>
    <w:rsid w:val="57B9702B"/>
    <w:rsid w:val="57D07126"/>
    <w:rsid w:val="58260B9B"/>
    <w:rsid w:val="58500DD6"/>
    <w:rsid w:val="5855243C"/>
    <w:rsid w:val="585D3DF0"/>
    <w:rsid w:val="58746F33"/>
    <w:rsid w:val="58CF6491"/>
    <w:rsid w:val="58D25A73"/>
    <w:rsid w:val="58D54B9A"/>
    <w:rsid w:val="59BE02C8"/>
    <w:rsid w:val="59D624CA"/>
    <w:rsid w:val="5A4A3433"/>
    <w:rsid w:val="5AA804F6"/>
    <w:rsid w:val="5B0B47FB"/>
    <w:rsid w:val="5B4B0AC3"/>
    <w:rsid w:val="5B4F64F7"/>
    <w:rsid w:val="5CA0213D"/>
    <w:rsid w:val="5D156FA2"/>
    <w:rsid w:val="5D551BFA"/>
    <w:rsid w:val="5D6E0C63"/>
    <w:rsid w:val="5DE977F8"/>
    <w:rsid w:val="5F0F1DD3"/>
    <w:rsid w:val="5F207068"/>
    <w:rsid w:val="5F760B65"/>
    <w:rsid w:val="5FA27792"/>
    <w:rsid w:val="5FF35C58"/>
    <w:rsid w:val="60364859"/>
    <w:rsid w:val="603C0D48"/>
    <w:rsid w:val="605F13F0"/>
    <w:rsid w:val="608A1A55"/>
    <w:rsid w:val="60A1719B"/>
    <w:rsid w:val="60E35500"/>
    <w:rsid w:val="6121278F"/>
    <w:rsid w:val="612625AA"/>
    <w:rsid w:val="6148542E"/>
    <w:rsid w:val="61817E3C"/>
    <w:rsid w:val="620F6776"/>
    <w:rsid w:val="62367E65"/>
    <w:rsid w:val="624038C5"/>
    <w:rsid w:val="6265623A"/>
    <w:rsid w:val="628F111D"/>
    <w:rsid w:val="629E1DFA"/>
    <w:rsid w:val="62A86D2A"/>
    <w:rsid w:val="62B23D75"/>
    <w:rsid w:val="62E0271D"/>
    <w:rsid w:val="62EB5301"/>
    <w:rsid w:val="632C14AF"/>
    <w:rsid w:val="6376327D"/>
    <w:rsid w:val="63E65CAD"/>
    <w:rsid w:val="644205E4"/>
    <w:rsid w:val="644D1DFE"/>
    <w:rsid w:val="65364107"/>
    <w:rsid w:val="65DC4836"/>
    <w:rsid w:val="65DF3879"/>
    <w:rsid w:val="661357A0"/>
    <w:rsid w:val="663D1963"/>
    <w:rsid w:val="667A086C"/>
    <w:rsid w:val="66F23DA0"/>
    <w:rsid w:val="67591F27"/>
    <w:rsid w:val="67BF5964"/>
    <w:rsid w:val="67ED0162"/>
    <w:rsid w:val="680C1D11"/>
    <w:rsid w:val="68675294"/>
    <w:rsid w:val="688A2780"/>
    <w:rsid w:val="689E3E83"/>
    <w:rsid w:val="68ED24C0"/>
    <w:rsid w:val="691F79AD"/>
    <w:rsid w:val="698334C9"/>
    <w:rsid w:val="6AEB0406"/>
    <w:rsid w:val="6B1662A0"/>
    <w:rsid w:val="6B324C90"/>
    <w:rsid w:val="6C075B40"/>
    <w:rsid w:val="6C9A762A"/>
    <w:rsid w:val="6CC64A9C"/>
    <w:rsid w:val="6CDF240E"/>
    <w:rsid w:val="6CEF5DF8"/>
    <w:rsid w:val="6D3D73A6"/>
    <w:rsid w:val="6DB55520"/>
    <w:rsid w:val="6E32632A"/>
    <w:rsid w:val="6E83674B"/>
    <w:rsid w:val="6F81410E"/>
    <w:rsid w:val="6FCA1424"/>
    <w:rsid w:val="70222ADB"/>
    <w:rsid w:val="70323211"/>
    <w:rsid w:val="71277622"/>
    <w:rsid w:val="716B506C"/>
    <w:rsid w:val="71805FEF"/>
    <w:rsid w:val="71C8773D"/>
    <w:rsid w:val="71E940A1"/>
    <w:rsid w:val="72DE7C54"/>
    <w:rsid w:val="72F8265E"/>
    <w:rsid w:val="73235F29"/>
    <w:rsid w:val="73A823EF"/>
    <w:rsid w:val="73F0639B"/>
    <w:rsid w:val="74775FC0"/>
    <w:rsid w:val="749414A1"/>
    <w:rsid w:val="76084588"/>
    <w:rsid w:val="76B83908"/>
    <w:rsid w:val="76EA4765"/>
    <w:rsid w:val="77197ED0"/>
    <w:rsid w:val="77392219"/>
    <w:rsid w:val="77AB14FD"/>
    <w:rsid w:val="78624DA5"/>
    <w:rsid w:val="78773C75"/>
    <w:rsid w:val="78AB0C68"/>
    <w:rsid w:val="78E328E5"/>
    <w:rsid w:val="78E90B93"/>
    <w:rsid w:val="79046A88"/>
    <w:rsid w:val="79130FEA"/>
    <w:rsid w:val="79662E86"/>
    <w:rsid w:val="79EA0D2A"/>
    <w:rsid w:val="7A2141E3"/>
    <w:rsid w:val="7A33156C"/>
    <w:rsid w:val="7AC27882"/>
    <w:rsid w:val="7AF83AAC"/>
    <w:rsid w:val="7B011597"/>
    <w:rsid w:val="7B0924ED"/>
    <w:rsid w:val="7B2075DD"/>
    <w:rsid w:val="7B2A00C7"/>
    <w:rsid w:val="7B5D5082"/>
    <w:rsid w:val="7BD16A01"/>
    <w:rsid w:val="7C3F1BA4"/>
    <w:rsid w:val="7CD32026"/>
    <w:rsid w:val="7CEB71BA"/>
    <w:rsid w:val="7D7E60EF"/>
    <w:rsid w:val="7D9C7A9A"/>
    <w:rsid w:val="7DA81AEB"/>
    <w:rsid w:val="7DD06F88"/>
    <w:rsid w:val="7DE85FE7"/>
    <w:rsid w:val="7ED21CB4"/>
    <w:rsid w:val="7F806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4"/>
    <w:next w:val="4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Chars="0"/>
      <w:outlineLvl w:val="2"/>
    </w:pPr>
    <w:rPr>
      <w:b/>
      <w:bCs/>
      <w:kern w:val="0"/>
      <w:sz w:val="30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4"/>
      <w:szCs w:val="24"/>
    </w:rPr>
  </w:style>
  <w:style w:type="paragraph" w:customStyle="1" w:styleId="6">
    <w:name w:val="一级条标题"/>
    <w:basedOn w:val="7"/>
    <w:next w:val="8"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9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15">
    <w:name w:val="Body Text First Indent"/>
    <w:basedOn w:val="5"/>
    <w:unhideWhenUsed/>
    <w:qFormat/>
    <w:uiPriority w:val="99"/>
    <w:pPr>
      <w:spacing w:before="100" w:beforeAutospacing="1"/>
      <w:ind w:firstLine="420" w:firstLineChars="100"/>
    </w:pPr>
  </w:style>
  <w:style w:type="paragraph" w:styleId="16">
    <w:name w:val="Body Text First Indent 2"/>
    <w:basedOn w:val="9"/>
    <w:unhideWhenUsed/>
    <w:qFormat/>
    <w:uiPriority w:val="99"/>
    <w:pPr>
      <w:ind w:firstLine="420" w:firstLineChars="200"/>
    </w:pPr>
    <w:rPr>
      <w:szCs w:val="24"/>
    </w:rPr>
  </w:style>
  <w:style w:type="table" w:styleId="18">
    <w:name w:val="Table Grid"/>
    <w:basedOn w:val="1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21">
    <w:name w:val="页眉 Char"/>
    <w:basedOn w:val="19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9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Char"/>
    <w:basedOn w:val="19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</w:style>
  <w:style w:type="paragraph" w:customStyle="1" w:styleId="28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森林</cp:lastModifiedBy>
  <dcterms:modified xsi:type="dcterms:W3CDTF">2021-01-26T02:30:03Z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