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0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曾德恩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赵从恭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王央央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26-28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OHMS: 5.3组织的岗位、职责和权限、6.2职业健康安全目标、6.1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.2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6.1.4控制措施、</w:t>
            </w:r>
            <w:r>
              <w:rPr>
                <w:rFonts w:hint="eastAsia" w:ascii="宋体" w:hAnsi="宋体" w:cs="Arial"/>
                <w:szCs w:val="21"/>
              </w:rPr>
              <w:t>8.1运行策划和控制，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8.2应急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 5.3</w:t>
            </w:r>
          </w:p>
        </w:tc>
        <w:tc>
          <w:tcPr>
            <w:tcW w:w="1105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主要作用、职责和权限包括:负责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产品设计开发试验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新工艺开发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负责部门危险源辨识和控制，负责检验过程运行的职业健康安全控制。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O:6.2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6"/>
              <w:tblW w:w="7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366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eastAsia="zh-CN"/>
                    </w:rPr>
                    <w:t>技术部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发生人员重大伤亡事故为零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发生火灾、爆炸事故为零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</w:tcPr>
                <w:p>
                  <w:r>
                    <w:rPr>
                      <w:rFonts w:hint="eastAsia"/>
                    </w:rPr>
                    <w:t>无发生职业病（耳聋、呼吸道、尘肺）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日考核已完成。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O6.1.2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6.1.4</w:t>
            </w: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危险源辨识、风险评价控制措施控制程序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部负责人介绍：部门按照办公过程及检验过程对危险源进行了辨识，辨识时考虑了三种时态，过去、现在和将来，三种状态，正常、异常和紧急。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查到《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危险源辨识/风险评价表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》，识别了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小批量生产试验时的用电安全、机械设备机械、噪声、高温、粉尘等物理因素伤害、喷漆和试验时的化学因素伤害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O8.1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公司制定实施了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《安全运行控制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程序》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等安全管理制度。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现场检验时严格遵守公司的规章制度，注意安全避免碰伤划伤。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人员在小指试验报废的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产品进行回用，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处理。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现场巡视办公区域和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区域的灭火器正常，电线、电气插座完整，未见隐患。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小批量试验的危险源控制与现场巡视情况基本同生产部；试验危险源控制基于同品质部。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门运行控制基本有效。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应急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技术部人员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在2020.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日参加了公司的消防应急演练，掌握了消防应急知识。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1AE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76592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A697F"/>
    <w:rsid w:val="002B01C2"/>
    <w:rsid w:val="002B14DB"/>
    <w:rsid w:val="002B1808"/>
    <w:rsid w:val="002B4FF5"/>
    <w:rsid w:val="002B59CF"/>
    <w:rsid w:val="002B7D11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0457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67D0"/>
    <w:rsid w:val="00337922"/>
    <w:rsid w:val="00340867"/>
    <w:rsid w:val="00340CC4"/>
    <w:rsid w:val="00342857"/>
    <w:rsid w:val="00342E9F"/>
    <w:rsid w:val="0034341E"/>
    <w:rsid w:val="0034373E"/>
    <w:rsid w:val="003439A4"/>
    <w:rsid w:val="00345161"/>
    <w:rsid w:val="0035051A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34F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B502D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5E34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29E1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595E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1801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1174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0431"/>
    <w:rsid w:val="006F1C10"/>
    <w:rsid w:val="006F4A6C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3FAD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11D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44F7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3DEE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0B0C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6702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0A12"/>
    <w:rsid w:val="00B05366"/>
    <w:rsid w:val="00B05691"/>
    <w:rsid w:val="00B0685B"/>
    <w:rsid w:val="00B07F39"/>
    <w:rsid w:val="00B103EA"/>
    <w:rsid w:val="00B10A94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619D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47B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BF5B95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6E3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261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43E3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150B7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8CD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2542E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0D"/>
    <w:rsid w:val="00F842BF"/>
    <w:rsid w:val="00F856F5"/>
    <w:rsid w:val="00F87F8F"/>
    <w:rsid w:val="00F90091"/>
    <w:rsid w:val="00F95049"/>
    <w:rsid w:val="00F956F5"/>
    <w:rsid w:val="00F96052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02641724"/>
    <w:rsid w:val="02ED790A"/>
    <w:rsid w:val="06A04E48"/>
    <w:rsid w:val="0B2732CD"/>
    <w:rsid w:val="108219C2"/>
    <w:rsid w:val="32457058"/>
    <w:rsid w:val="4296418C"/>
    <w:rsid w:val="4B396EE9"/>
    <w:rsid w:val="4B532175"/>
    <w:rsid w:val="5A225E1E"/>
    <w:rsid w:val="5EA12B9A"/>
    <w:rsid w:val="60C24B1A"/>
    <w:rsid w:val="68F373C1"/>
    <w:rsid w:val="6DC27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864</Characters>
  <Lines>7</Lines>
  <Paragraphs>2</Paragraphs>
  <TotalTime>8</TotalTime>
  <ScaleCrop>false</ScaleCrop>
  <LinksUpToDate>false</LinksUpToDate>
  <CharactersWithSpaces>1013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2021-01-26T02:22:56Z</dcterms:modified>
  <cp:revision>1662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