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lang w:val="en-US" w:eastAsia="zh-CN"/>
              </w:rPr>
              <w:t xml:space="preserve">林兵  王央央  </w:t>
            </w:r>
            <w:r>
              <w:rPr>
                <w:rFonts w:hint="eastAsia"/>
                <w:sz w:val="24"/>
                <w:szCs w:val="24"/>
              </w:rPr>
              <w:t>审核时间：</w:t>
            </w:r>
            <w:r>
              <w:rPr>
                <w:rFonts w:hint="eastAsia"/>
                <w:sz w:val="24"/>
                <w:szCs w:val="24"/>
                <w:lang w:val="en-US" w:eastAsia="zh-CN"/>
              </w:rPr>
              <w:t>2021-1-25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 xml:space="preserve">企业基本情况 </w:t>
            </w: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szCs w:val="22"/>
                <w:u w:val="single"/>
                <w:lang w:val="en-US" w:eastAsia="zh-CN"/>
              </w:rPr>
              <w:t>周金坤</w:t>
            </w:r>
            <w:r>
              <w:rPr>
                <w:rFonts w:hint="eastAsia" w:ascii="宋体" w:hAnsi="宋体"/>
                <w:u w:val="single"/>
              </w:rPr>
              <w:t xml:space="preserve"> </w:t>
            </w:r>
            <w:r>
              <w:rPr>
                <w:rFonts w:ascii="宋体" w:hAnsi="宋体"/>
                <w:u w:val="single"/>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ascii="宋体" w:hAnsi="宋体"/>
                <w:u w:val="single"/>
              </w:rPr>
              <w:t xml:space="preserve">  </w:t>
            </w:r>
            <w:r>
              <w:rPr>
                <w:rFonts w:hint="eastAsia" w:ascii="宋体" w:hAnsi="宋体"/>
                <w:szCs w:val="22"/>
                <w:u w:val="single"/>
                <w:lang w:val="en-US" w:eastAsia="zh-CN"/>
              </w:rPr>
              <w:t>徐文学</w:t>
            </w:r>
            <w:r>
              <w:rPr>
                <w:rFonts w:hint="eastAsia" w:ascii="宋体" w:hAnsi="宋体"/>
                <w:szCs w:val="22"/>
                <w:u w:val="single"/>
              </w:rPr>
              <w:t xml:space="preserve"> </w:t>
            </w:r>
            <w:r>
              <w:rPr>
                <w:rFonts w:ascii="宋体" w:hAnsi="宋体"/>
                <w:u w:val="single"/>
              </w:rPr>
              <w:t xml:space="preserve">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szCs w:val="22"/>
                <w:u w:val="single"/>
                <w:lang w:val="en-US" w:eastAsia="zh-CN"/>
              </w:rPr>
              <w:t xml:space="preserve"> 张伟峰、方美平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hint="eastAsia" w:ascii="宋体" w:hAnsi="宋体"/>
                <w:u w:val="single"/>
                <w:lang w:val="en-US" w:eastAsia="zh-CN"/>
              </w:rPr>
              <w:t xml:space="preserve">175 </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）各体系人数：/0 ：</w:t>
            </w:r>
            <w:r>
              <w:rPr>
                <w:rFonts w:hint="eastAsia" w:ascii="宋体" w:hAnsi="宋体"/>
                <w:u w:val="single"/>
              </w:rPr>
              <w:t xml:space="preserve"> </w:t>
            </w:r>
            <w:r>
              <w:rPr>
                <w:rFonts w:hint="eastAsia" w:ascii="宋体" w:hAnsi="宋体"/>
                <w:u w:val="single"/>
                <w:lang w:val="en-US" w:eastAsia="zh-CN"/>
              </w:rPr>
              <w:t>175</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生产车间（机加工、喷漆车间、组装车间）、空压机房、配电房等</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pPr>
              <w:adjustRightInd w:val="0"/>
              <w:spacing w:line="280" w:lineRule="exact"/>
              <w:jc w:val="left"/>
              <w:rPr>
                <w:rFonts w:hint="eastAsia" w:ascii="宋体" w:hAnsi="宋体"/>
                <w:szCs w:val="21"/>
              </w:rPr>
            </w:pPr>
            <w:r>
              <w:rPr>
                <w:rFonts w:hint="eastAsia" w:ascii="宋体" w:hAnsi="宋体"/>
                <w:szCs w:val="21"/>
              </w:rPr>
              <w:t>O：</w:t>
            </w:r>
            <w:bookmarkStart w:id="0" w:name="审核范围"/>
            <w:r>
              <w:rPr>
                <w:rFonts w:hint="eastAsia" w:ascii="宋体" w:hAnsi="宋体"/>
                <w:szCs w:val="21"/>
              </w:rPr>
              <w:t>机座号355及以下三相异步电动机和机座号355及以下防爆电机的设计和生产（资质许可范围内）</w:t>
            </w:r>
            <w:bookmarkEnd w:id="0"/>
            <w:r>
              <w:rPr>
                <w:rFonts w:hint="eastAsia" w:ascii="宋体" w:hAnsi="宋体"/>
                <w:szCs w:val="21"/>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color w:val="333333"/>
                <w:szCs w:val="21"/>
                <w:highlight w:val="yellow"/>
              </w:rPr>
              <w:t>确认体系文件中描述的、与申请的、与实际的是否一致：</w:t>
            </w:r>
            <w:r>
              <w:rPr>
                <w:rFonts w:hint="eastAsia" w:ascii="宋体" w:hAnsi="宋体"/>
                <w:szCs w:val="21"/>
                <w:highlight w:val="yellow"/>
              </w:rPr>
              <w:t>■</w:t>
            </w:r>
            <w:r>
              <w:rPr>
                <w:rFonts w:hint="eastAsia" w:ascii="宋体" w:hAnsi="宋体"/>
                <w:highlight w:val="yellow"/>
              </w:rPr>
              <w:t>一致，</w:t>
            </w:r>
            <w:r>
              <w:rPr>
                <w:rFonts w:hint="eastAsia" w:ascii="宋体" w:hAnsi="宋体"/>
                <w:szCs w:val="21"/>
                <w:highlight w:val="yellow"/>
              </w:rPr>
              <w:t>□</w:t>
            </w:r>
            <w:r>
              <w:rPr>
                <w:rFonts w:hint="eastAsia" w:ascii="宋体" w:hAnsi="宋体"/>
                <w:highlight w:val="yellow"/>
              </w:rPr>
              <w:t>不一致</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s="宋体"/>
                <w:szCs w:val="21"/>
              </w:rPr>
              <w:t>■</w:t>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t>□有，条款及要求：</w:t>
            </w:r>
            <w:r>
              <w:rPr>
                <w:rFonts w:hint="eastAsia" w:ascii="宋体" w:hAnsi="宋体"/>
                <w:color w:val="000000"/>
                <w:szCs w:val="21"/>
                <w:u w:val="single"/>
              </w:rPr>
              <w:t>　</w:t>
            </w:r>
            <w:r>
              <w:rPr>
                <w:rFonts w:ascii="宋体" w:hAnsi="宋体"/>
                <w:color w:val="000000"/>
                <w:szCs w:val="21"/>
                <w:u w:val="single"/>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p>
          <w:p>
            <w:pPr>
              <w:adjustRightInd w:val="0"/>
              <w:spacing w:line="280" w:lineRule="exact"/>
              <w:jc w:val="left"/>
              <w:rPr>
                <w:rFonts w:ascii="宋体" w:hAnsi="宋体" w:eastAsia="宋体" w:cs="Times New Roman"/>
                <w:color w:val="333333"/>
                <w:kern w:val="2"/>
                <w:sz w:val="21"/>
                <w:szCs w:val="21"/>
                <w:lang w:val="en-US" w:eastAsia="zh-CN" w:bidi="ar-SA"/>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jc w:val="left"/>
              <w:rPr>
                <w:rFonts w:ascii="Times New Roman" w:hAnsi="Times New Roman" w:eastAsia="宋体" w:cs="Times New Roman"/>
                <w:kern w:val="2"/>
                <w:sz w:val="21"/>
                <w:lang w:val="en-US" w:eastAsia="zh-CN" w:bidi="ar-SA"/>
              </w:rPr>
            </w:pPr>
            <w:r>
              <w:rPr>
                <w:rFonts w:hint="eastAsia" w:ascii="宋体" w:hAnsi="宋体"/>
                <w:b/>
                <w:bCs/>
              </w:rPr>
              <w:t>管理体系文件</w:t>
            </w: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2020年</w:t>
            </w:r>
            <w:r>
              <w:rPr>
                <w:rFonts w:hint="eastAsia" w:ascii="宋体" w:hAnsi="宋体"/>
                <w:u w:val="single"/>
                <w:lang w:val="en-US" w:eastAsia="zh-CN"/>
              </w:rPr>
              <w:t>6</w:t>
            </w:r>
            <w:r>
              <w:rPr>
                <w:rFonts w:hint="eastAsia" w:ascii="宋体" w:hAnsi="宋体"/>
                <w:u w:val="single"/>
              </w:rPr>
              <w:t>月</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eastAsia="宋体" w:cs="Times New Roman"/>
                <w:color w:val="333333"/>
                <w:kern w:val="2"/>
                <w:sz w:val="21"/>
                <w:szCs w:val="21"/>
                <w:lang w:val="en-US" w:eastAsia="zh-CN" w:bidi="ar-SA"/>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jc w:val="left"/>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eastAsia="宋体" w:cs="Times New Roman"/>
                <w:color w:val="333333"/>
                <w:kern w:val="2"/>
                <w:sz w:val="21"/>
                <w:szCs w:val="21"/>
                <w:lang w:val="en-US" w:eastAsia="zh-CN" w:bidi="ar-SA"/>
              </w:rPr>
            </w:pPr>
            <w:r>
              <w:rPr>
                <w:rFonts w:hint="eastAsia" w:ascii="Arial" w:hAnsi="Arial" w:cs="Arial"/>
                <w:szCs w:val="21"/>
              </w:rPr>
              <w:t>管理制度、作业指导书、检验规范。</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jc w:val="left"/>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ascii="宋体" w:hAnsi="宋体"/>
                <w:szCs w:val="22"/>
              </w:rPr>
              <w:t>19</w:t>
            </w:r>
            <w:r>
              <w:rPr>
                <w:rFonts w:hint="eastAsia" w:ascii="宋体" w:hAnsi="宋体"/>
                <w:szCs w:val="22"/>
              </w:rPr>
              <w:t>年</w:t>
            </w:r>
            <w:r>
              <w:rPr>
                <w:rFonts w:hint="eastAsia" w:ascii="宋体" w:hAnsi="宋体"/>
                <w:szCs w:val="22"/>
                <w:lang w:val="en-US" w:eastAsia="zh-CN"/>
              </w:rPr>
              <w:t>6</w:t>
            </w:r>
            <w:r>
              <w:rPr>
                <w:rFonts w:hint="eastAsia" w:ascii="宋体" w:hAnsi="宋体"/>
                <w:szCs w:val="22"/>
              </w:rPr>
              <w:t>月</w:t>
            </w:r>
            <w:r>
              <w:rPr>
                <w:rFonts w:hint="eastAsia" w:ascii="宋体" w:hAnsi="宋体"/>
                <w:szCs w:val="22"/>
                <w:lang w:val="en-US" w:eastAsia="zh-CN"/>
              </w:rPr>
              <w:t>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eastAsia="宋体" w:cs="Arial"/>
                <w:kern w:val="2"/>
                <w:sz w:val="21"/>
                <w:szCs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eastAsia="宋体" w:cs="Arial"/>
                <w:kern w:val="2"/>
                <w:sz w:val="21"/>
                <w:szCs w:val="21"/>
                <w:lang w:val="en-US" w:eastAsia="zh-CN" w:bidi="ar-SA"/>
              </w:rPr>
            </w:pPr>
            <w:r>
              <w:rPr>
                <w:rFonts w:hint="eastAsia" w:ascii="宋体" w:hAnsi="宋体"/>
                <w:szCs w:val="21"/>
              </w:rPr>
              <w:t>提供《风险和机遇评估分析表》，针对确定的风险和机遇明确了控制措施，同时也确定了责任部门、时间期限等。</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b/>
                <w:szCs w:val="21"/>
              </w:rPr>
              <w:t>相关法律法规及其它要求的遵守情况</w:t>
            </w: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sym w:font="Wingdings 2" w:char="0052"/>
            </w:r>
            <w:r>
              <w:rPr>
                <w:rFonts w:hint="eastAsia" w:ascii="宋体" w:hAnsi="宋体"/>
                <w:color w:val="000000"/>
              </w:rPr>
              <w:t>排污许可证；</w:t>
            </w:r>
            <w:r>
              <w:rPr>
                <w:rFonts w:hint="eastAsia" w:ascii="宋体" w:hAnsi="宋体"/>
              </w:rPr>
              <w:sym w:font="Wingdings 2" w:char="0052"/>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sym w:font="Wingdings 2" w:char="0052"/>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eastAsia="宋体" w:cs="Times New Roman"/>
                <w:kern w:val="2"/>
                <w:sz w:val="21"/>
                <w:szCs w:val="21"/>
                <w:highlight w:val="yellow"/>
                <w:lang w:val="en-US" w:eastAsia="zh-CN" w:bidi="ar-SA"/>
              </w:rPr>
            </w:pPr>
            <w:r>
              <w:rPr>
                <w:rFonts w:ascii="宋体" w:hAnsi="宋体"/>
                <w:szCs w:val="21"/>
                <w:highlight w:val="none"/>
              </w:rPr>
              <w:t>2</w:t>
            </w:r>
            <w:r>
              <w:rPr>
                <w:rFonts w:hint="eastAsia" w:ascii="宋体" w:hAnsi="宋体"/>
                <w:szCs w:val="21"/>
                <w:highlight w:val="none"/>
              </w:rPr>
              <w:t>、组织识别了适用的法律、法规、标准和规范，主要包括：</w:t>
            </w:r>
            <w:r>
              <w:rPr>
                <w:rFonts w:ascii="宋体" w:hAnsi="宋体"/>
                <w:szCs w:val="21"/>
                <w:highlight w:val="none"/>
                <w:u w:val="single"/>
              </w:rPr>
              <w:t xml:space="preserve"> </w:t>
            </w:r>
            <w:r>
              <w:rPr>
                <w:rFonts w:hint="eastAsia" w:ascii="宋体" w:hAnsi="宋体"/>
                <w:szCs w:val="21"/>
                <w:highlight w:val="none"/>
                <w:u w:val="single"/>
              </w:rPr>
              <w:t>中</w:t>
            </w:r>
            <w:r>
              <w:rPr>
                <w:rFonts w:hint="eastAsia" w:ascii="宋体" w:hAnsi="宋体"/>
                <w:szCs w:val="21"/>
                <w:highlight w:val="none"/>
                <w:u w:val="single"/>
                <w:lang w:val="en-US" w:eastAsia="zh-CN"/>
              </w:rPr>
              <w:t>华人民共和国安全生产法、劳动法、职业病防治法、《用人单位职业病危害告知与警示标识管理规范》、GBZ158-2013《工作场所职业病危害警示标识》、GBZ188-2014《职业健康监护技术规范》、GBZ2.1-2019《工作场所有害因素职业接触限值 第1部分：化学有害因素》、GBZ2.2-2007《工作场所有害因素职业接触限值 第2部分：物理因素》等</w:t>
            </w:r>
            <w:r>
              <w:rPr>
                <w:rFonts w:ascii="宋体" w:hAnsi="宋体"/>
                <w:szCs w:val="21"/>
                <w:highlight w:val="none"/>
                <w:u w:val="single"/>
              </w:rPr>
              <w:t xml:space="preserve">                     </w:t>
            </w:r>
            <w:r>
              <w:rPr>
                <w:rFonts w:ascii="宋体" w:hAnsi="宋体"/>
                <w:szCs w:val="21"/>
                <w:highlight w:val="yellow"/>
                <w:u w:val="single"/>
              </w:rPr>
              <w:t xml:space="preserve">                                                           </w:t>
            </w:r>
            <w:r>
              <w:rPr>
                <w:rFonts w:hint="eastAsia" w:ascii="宋体" w:hAnsi="宋体"/>
                <w:szCs w:val="21"/>
                <w:highlight w:val="yellow"/>
                <w:u w:val="single"/>
              </w:rPr>
              <w:t>　　</w:t>
            </w:r>
            <w:r>
              <w:rPr>
                <w:rFonts w:ascii="宋体" w:hAnsi="宋体"/>
                <w:szCs w:val="21"/>
                <w:highlight w:val="yellow"/>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eastAsia="宋体" w:cs="Times New Roman"/>
                <w:kern w:val="2"/>
                <w:sz w:val="21"/>
                <w:szCs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tc>
        <w:tc>
          <w:tcPr>
            <w:tcW w:w="0" w:type="auto"/>
            <w:vAlign w:val="top"/>
          </w:tcPr>
          <w:p>
            <w:pPr>
              <w:rPr>
                <w:rFonts w:ascii="Times New Roman" w:hAnsi="Times New Roman" w:eastAsia="宋体" w:cs="Times New Roman"/>
                <w:kern w:val="2"/>
                <w:sz w:val="21"/>
                <w:lang w:val="en-US" w:eastAsia="zh-CN" w:bidi="ar-SA"/>
              </w:rPr>
            </w:pPr>
            <w:r>
              <w:rPr>
                <w:rFonts w:hint="eastAsia"/>
              </w:rPr>
              <w:t>5.2/6.1/6.2</w:t>
            </w:r>
          </w:p>
        </w:tc>
        <w:tc>
          <w:tcPr>
            <w:tcW w:w="0" w:type="auto"/>
            <w:vAlign w:val="top"/>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b/>
                <w:bCs/>
                <w:szCs w:val="21"/>
              </w:rPr>
              <w:t>组织内部审核策划和实施情况</w:t>
            </w:r>
          </w:p>
        </w:tc>
        <w:tc>
          <w:tcPr>
            <w:tcW w:w="0" w:type="auto"/>
            <w:vAlign w:val="top"/>
          </w:tcPr>
          <w:p>
            <w:pPr>
              <w:rPr>
                <w:rFonts w:ascii="Times New Roman" w:hAnsi="Times New Roman" w:eastAsia="宋体" w:cs="Times New Roman"/>
                <w:kern w:val="2"/>
                <w:sz w:val="21"/>
                <w:lang w:val="en-US" w:eastAsia="zh-CN" w:bidi="ar-SA"/>
              </w:rPr>
            </w:pPr>
            <w:r>
              <w:rPr>
                <w:rFonts w:hint="eastAsia"/>
              </w:rPr>
              <w:t>9.2</w:t>
            </w:r>
          </w:p>
        </w:tc>
        <w:tc>
          <w:tcPr>
            <w:tcW w:w="0" w:type="auto"/>
            <w:vAlign w:val="top"/>
          </w:tcPr>
          <w:p>
            <w:pPr>
              <w:pStyle w:val="12"/>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20</w:t>
            </w:r>
            <w:r>
              <w:rPr>
                <w:rFonts w:hint="eastAsia" w:ascii="宋体" w:hAnsi="宋体"/>
                <w:u w:val="single"/>
                <w:lang w:val="en-US" w:eastAsia="zh-CN"/>
              </w:rPr>
              <w:t>20</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12</w:t>
            </w:r>
            <w:r>
              <w:rPr>
                <w:rFonts w:hint="eastAsia" w:ascii="宋体" w:hAnsi="宋体"/>
              </w:rPr>
              <w:t>月</w:t>
            </w:r>
            <w:r>
              <w:rPr>
                <w:rFonts w:hint="eastAsia" w:ascii="宋体" w:hAnsi="宋体"/>
                <w:u w:val="single"/>
                <w:lang w:val="en-US" w:eastAsia="zh-CN"/>
              </w:rPr>
              <w:t>10-11</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t xml:space="preserve">  </w:t>
            </w:r>
            <w:r>
              <w:rPr>
                <w:rFonts w:hint="eastAsia"/>
              </w:rPr>
              <w:t>□</w:t>
            </w:r>
            <w:r>
              <w:rPr>
                <w:rFonts w:ascii="宋体" w:hAnsi="宋体"/>
              </w:rPr>
              <w:t>QMS</w:t>
            </w:r>
            <w:r>
              <w:t xml:space="preserve">  </w:t>
            </w:r>
            <w:r>
              <w:rPr>
                <w:rFonts w:hint="eastAsia"/>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u w:val="single"/>
              </w:rPr>
              <w:t>　　公司的管理体系符合标准要求，体系运行有效。　　　</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b/>
                <w:bCs/>
                <w:szCs w:val="21"/>
              </w:rPr>
              <w:t>组织进行管理评审的情况</w:t>
            </w:r>
          </w:p>
        </w:tc>
        <w:tc>
          <w:tcPr>
            <w:tcW w:w="0" w:type="auto"/>
            <w:vAlign w:val="top"/>
          </w:tcPr>
          <w:p>
            <w:pPr>
              <w:rPr>
                <w:rFonts w:ascii="Times New Roman" w:hAnsi="Times New Roman" w:eastAsia="宋体" w:cs="Times New Roman"/>
                <w:kern w:val="2"/>
                <w:sz w:val="21"/>
                <w:lang w:val="en-US" w:eastAsia="zh-CN" w:bidi="ar-SA"/>
              </w:rPr>
            </w:pPr>
            <w:r>
              <w:rPr>
                <w:rFonts w:hint="eastAsia"/>
              </w:rPr>
              <w:t>9.3</w:t>
            </w:r>
          </w:p>
        </w:tc>
        <w:tc>
          <w:tcPr>
            <w:tcW w:w="0" w:type="auto"/>
            <w:vAlign w:val="top"/>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21</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1</w:t>
            </w:r>
            <w:r>
              <w:rPr>
                <w:rFonts w:hint="eastAsia" w:ascii="宋体" w:hAnsi="宋体"/>
                <w:u w:val="single"/>
              </w:rPr>
              <w:t>　</w:t>
            </w:r>
            <w:r>
              <w:rPr>
                <w:rFonts w:hint="eastAsia" w:ascii="宋体" w:hAnsi="宋体"/>
              </w:rPr>
              <w:t>月</w:t>
            </w:r>
            <w:r>
              <w:rPr>
                <w:rFonts w:hint="eastAsia" w:ascii="宋体" w:hAnsi="宋体"/>
                <w:u w:val="single"/>
                <w:lang w:val="en-US" w:eastAsia="zh-CN"/>
              </w:rPr>
              <w:t>8</w:t>
            </w:r>
            <w:r>
              <w:rPr>
                <w:rFonts w:hint="eastAsia" w:ascii="宋体" w:hAnsi="宋体"/>
              </w:rPr>
              <w:t>日实施，由最高管理者：</w:t>
            </w:r>
            <w:r>
              <w:rPr>
                <w:rFonts w:hint="eastAsia" w:ascii="宋体" w:hAnsi="宋体"/>
                <w:lang w:val="en-US" w:eastAsia="zh-CN"/>
              </w:rPr>
              <w:t>葛方力</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hAnsi="宋体" w:eastAsia="宋体" w:cs="Times New Roman"/>
                <w:kern w:val="2"/>
                <w:sz w:val="21"/>
                <w:szCs w:val="21"/>
                <w:lang w:val="en-US" w:eastAsia="zh-CN" w:bidi="ar-SA"/>
              </w:rPr>
            </w:pPr>
            <w:r>
              <w:rPr>
                <w:rFonts w:ascii="宋体" w:hAnsi="宋体"/>
              </w:rPr>
              <w:t>3</w:t>
            </w:r>
            <w:r>
              <w:rPr>
                <w:rFonts w:hint="eastAsia" w:ascii="宋体" w:hAnsi="宋体"/>
              </w:rPr>
              <w:t>、管理评审报告对</w:t>
            </w:r>
            <w:r>
              <w:t xml:space="preserve">  </w:t>
            </w:r>
            <w:r>
              <w:rPr>
                <w:rFonts w:hint="eastAsia"/>
              </w:rPr>
              <w:t>□</w:t>
            </w:r>
            <w:r>
              <w:rPr>
                <w:rFonts w:ascii="宋体" w:hAnsi="宋体"/>
              </w:rPr>
              <w:t>QMS</w:t>
            </w:r>
            <w:r>
              <w:t xml:space="preserve">  </w:t>
            </w:r>
            <w:r>
              <w:rPr>
                <w:rFonts w:hint="eastAsia"/>
              </w:rPr>
              <w:t>□</w:t>
            </w:r>
            <w:r>
              <w:rPr>
                <w:rFonts w:ascii="宋体" w:hAnsi="宋体"/>
              </w:rPr>
              <w:t>EMS</w:t>
            </w:r>
            <w:r>
              <w:t xml:space="preserve">  </w:t>
            </w:r>
            <w:r>
              <w:rPr>
                <w:rFonts w:hint="eastAsia"/>
              </w:rPr>
              <w:sym w:font="Wingdings 2" w:char="0052"/>
            </w:r>
            <w:r>
              <w:rPr>
                <w:rFonts w:ascii="宋体" w:hAnsi="宋体"/>
              </w:rPr>
              <w:t>OHSMS</w:t>
            </w:r>
            <w:r>
              <w:rPr>
                <w:rFonts w:hint="eastAsia" w:ascii="宋体" w:hAnsi="宋体"/>
              </w:rPr>
              <w:t>的适宜性、充分性和有效性的结论：</w:t>
            </w:r>
            <w:r>
              <w:rPr>
                <w:rFonts w:ascii="宋体" w:hAnsi="宋体"/>
                <w:u w:val="single"/>
              </w:rPr>
              <w:t>职业健康</w:t>
            </w:r>
            <w:r>
              <w:rPr>
                <w:rFonts w:hint="eastAsia" w:ascii="宋体" w:hAnsi="宋体"/>
                <w:u w:val="single"/>
              </w:rPr>
              <w:t>安全管理体系运行是有效的，资源提供是充分的，方针目标是适宜的。</w:t>
            </w:r>
          </w:p>
        </w:tc>
        <w:tc>
          <w:tcPr>
            <w:tcW w:w="0" w:type="auto"/>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r>
              <w:rPr>
                <w:rFonts w:hint="eastAsia" w:ascii="宋体" w:hAnsi="宋体"/>
                <w:b/>
                <w:szCs w:val="21"/>
              </w:rPr>
              <w:t>重要过程及重要因素的确定</w:t>
            </w:r>
          </w:p>
        </w:tc>
        <w:tc>
          <w:tcPr>
            <w:tcW w:w="0" w:type="auto"/>
          </w:tcPr>
          <w:p>
            <w:pPr>
              <w:rPr>
                <w:rFonts w:hint="eastAsia"/>
              </w:rPr>
            </w:pPr>
          </w:p>
        </w:tc>
        <w:tc>
          <w:tcPr>
            <w:tcW w:w="0" w:type="auto"/>
            <w:vAlign w:val="top"/>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ascii="宋体" w:hAnsi="宋体" w:eastAsia="宋体" w:cs="Times New Roman"/>
                <w:b/>
                <w:kern w:val="2"/>
                <w:sz w:val="21"/>
                <w:szCs w:val="21"/>
                <w:lang w:val="en-US" w:eastAsia="zh-CN" w:bidi="ar-SA"/>
              </w:rPr>
            </w:pPr>
            <w:r>
              <w:rPr>
                <w:rFonts w:hint="eastAsia"/>
                <w:szCs w:val="21"/>
              </w:rPr>
              <w:t xml:space="preserve">   每年监视评审一次，一般是从网络获取。</w:t>
            </w:r>
            <w:r>
              <w:rPr>
                <w:rFonts w:hint="eastAsia"/>
                <w:color w:val="4F81BD"/>
                <w:szCs w:val="21"/>
              </w:rPr>
              <w:t xml:space="preserve">   </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p>
        </w:tc>
        <w:tc>
          <w:tcPr>
            <w:tcW w:w="0" w:type="auto"/>
          </w:tcPr>
          <w:p>
            <w:pPr>
              <w:rPr>
                <w:rFonts w:hint="eastAsi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提供《内外环境因素》，确定了公司相关的内外部因素。</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p>
        </w:tc>
        <w:tc>
          <w:tcPr>
            <w:tcW w:w="0" w:type="auto"/>
          </w:tcPr>
          <w:p>
            <w:pPr>
              <w:rPr>
                <w:rFonts w:hint="eastAsi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Times New Roman" w:hAnsi="Times New Roman" w:eastAsia="宋体" w:cs="Times New Roman"/>
                <w:color w:val="4F81BD"/>
                <w:kern w:val="2"/>
                <w:sz w:val="21"/>
                <w:szCs w:val="21"/>
                <w:lang w:val="en-US" w:eastAsia="zh-CN" w:bidi="ar-SA"/>
              </w:rPr>
            </w:pPr>
            <w:r>
              <w:rPr>
                <w:rFonts w:hint="eastAsia" w:ascii="宋体" w:hAnsi="宋体"/>
                <w:szCs w:val="21"/>
              </w:rPr>
              <w:t>提供《风险和机遇评估表》，针对确定的风险和机遇明确了控制措施，同时也确定了责任部门、时间期限等。</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p>
        </w:tc>
        <w:tc>
          <w:tcPr>
            <w:tcW w:w="0" w:type="auto"/>
          </w:tcPr>
          <w:p>
            <w:pPr>
              <w:rPr>
                <w:rFonts w:hint="eastAsia"/>
              </w:rPr>
            </w:pPr>
          </w:p>
        </w:tc>
        <w:tc>
          <w:tcPr>
            <w:tcW w:w="0" w:type="auto"/>
            <w:vAlign w:val="top"/>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b/>
                <w:sz w:val="20"/>
                <w:lang w:val="en-US" w:eastAsia="zh-CN"/>
              </w:rPr>
              <w:t>机加工（冲压）-焊接-绕线-装配-喷漆-包装入库</w:t>
            </w:r>
          </w:p>
          <w:p>
            <w:pPr>
              <w:rPr>
                <w:rFonts w:ascii="宋体" w:hAnsi="宋体"/>
                <w:szCs w:val="21"/>
              </w:rPr>
            </w:pPr>
            <w:r>
              <w:rPr>
                <w:rFonts w:hint="eastAsia"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喷漆过程；</w:t>
            </w:r>
          </w:p>
          <w:p>
            <w:pPr>
              <w:adjustRightInd w:val="0"/>
              <w:spacing w:line="360" w:lineRule="auto"/>
              <w:ind w:firstLine="315" w:firstLineChars="150"/>
              <w:jc w:val="left"/>
              <w:rPr>
                <w:rFonts w:ascii="Times New Roman" w:hAnsi="Times New Roman" w:eastAsia="宋体" w:cs="Times New Roman"/>
                <w:color w:val="4F81BD"/>
                <w:kern w:val="2"/>
                <w:sz w:val="21"/>
                <w:lang w:val="en-US" w:eastAsia="zh-CN" w:bidi="ar-SA"/>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0" w:type="auto"/>
          </w:tcPr>
          <w:p>
            <w:pPr>
              <w:rPr>
                <w:rFonts w:hint="eastAsia" w:ascii="宋体" w:hAnsi="宋体"/>
                <w:b/>
                <w:bCs/>
                <w:szCs w:val="21"/>
              </w:rPr>
            </w:pPr>
          </w:p>
        </w:tc>
        <w:tc>
          <w:tcPr>
            <w:tcW w:w="0" w:type="auto"/>
          </w:tcPr>
          <w:p>
            <w:pPr>
              <w:rPr>
                <w:rFonts w:hint="eastAsia"/>
              </w:rPr>
            </w:pPr>
          </w:p>
        </w:tc>
        <w:tc>
          <w:tcPr>
            <w:tcW w:w="0" w:type="auto"/>
            <w:vAlign w:val="top"/>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ascii="宋体" w:hAnsi="宋体" w:eastAsia="宋体" w:cs="Times New Roman"/>
                <w:kern w:val="2"/>
                <w:sz w:val="21"/>
                <w:lang w:val="en-US" w:eastAsia="zh-CN" w:bidi="ar-SA"/>
              </w:rPr>
            </w:pPr>
            <w:r>
              <w:rPr>
                <w:rFonts w:hint="eastAsia" w:ascii="宋体" w:hAnsi="宋体"/>
              </w:rPr>
              <w:t xml:space="preserve">   </w:t>
            </w:r>
            <w:r>
              <w:rPr>
                <w:rFonts w:hint="eastAsia" w:ascii="宋体" w:hAnsi="宋体"/>
                <w:u w:val="single"/>
              </w:rPr>
              <w:t xml:space="preserve"> </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p>
        </w:tc>
        <w:tc>
          <w:tcPr>
            <w:tcW w:w="0" w:type="auto"/>
          </w:tcPr>
          <w:p>
            <w:pPr>
              <w:rPr>
                <w:rFonts w:hint="eastAsia"/>
              </w:rPr>
            </w:pPr>
          </w:p>
        </w:tc>
        <w:tc>
          <w:tcPr>
            <w:tcW w:w="0" w:type="auto"/>
            <w:vAlign w:val="top"/>
          </w:tcPr>
          <w:p>
            <w:pPr>
              <w:adjustRightInd w:val="0"/>
              <w:spacing w:line="360" w:lineRule="auto"/>
              <w:jc w:val="left"/>
              <w:rPr>
                <w:rFonts w:ascii="宋体"/>
              </w:rPr>
            </w:pPr>
            <w:r>
              <w:rPr>
                <w:rFonts w:hint="eastAsia" w:ascii="宋体" w:hAnsi="宋体"/>
                <w:lang w:val="en-US" w:eastAsia="zh-CN"/>
              </w:rPr>
              <w:t>6</w:t>
            </w:r>
            <w:r>
              <w:rPr>
                <w:rFonts w:hint="eastAsia" w:ascii="宋体" w:hAnsi="宋体"/>
              </w:rPr>
              <w:t>、（</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办公过程、采购过程、销售过程、生产过程、检验过程</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8</w:t>
            </w:r>
            <w:r>
              <w:rPr>
                <w:rFonts w:ascii="宋体" w:hAnsi="宋体"/>
                <w:u w:val="single"/>
              </w:rPr>
              <w:t xml:space="preserve">  </w:t>
            </w:r>
            <w:r>
              <w:rPr>
                <w:rFonts w:hint="eastAsia" w:ascii="宋体" w:hAnsi="宋体"/>
              </w:rPr>
              <w:t>项，包括：</w:t>
            </w:r>
          </w:p>
          <w:p>
            <w:pPr>
              <w:adjustRightInd w:val="0"/>
              <w:spacing w:line="360" w:lineRule="auto"/>
              <w:ind w:firstLine="210" w:firstLineChars="100"/>
              <w:jc w:val="left"/>
              <w:rPr>
                <w:rFonts w:ascii="宋体" w:hAnsi="宋体"/>
                <w:szCs w:val="21"/>
              </w:rPr>
            </w:pPr>
            <w:r>
              <w:rPr>
                <w:rFonts w:hint="eastAsia" w:ascii="宋体" w:hAnsi="宋体"/>
                <w:u w:val="single"/>
              </w:rPr>
              <w:t>职业病伤害</w:t>
            </w:r>
            <w:r>
              <w:rPr>
                <w:rFonts w:hint="eastAsia" w:ascii="宋体" w:hAnsi="宋体"/>
                <w:u w:val="single"/>
                <w:lang w:eastAsia="zh-CN"/>
              </w:rPr>
              <w:t>（</w:t>
            </w:r>
            <w:r>
              <w:rPr>
                <w:rFonts w:hint="eastAsia" w:ascii="宋体" w:hAnsi="宋体"/>
                <w:u w:val="single"/>
                <w:lang w:val="en-US" w:eastAsia="zh-CN"/>
              </w:rPr>
              <w:t>化学伤害、粉尘、噪声</w:t>
            </w:r>
            <w:r>
              <w:rPr>
                <w:rFonts w:hint="eastAsia" w:ascii="宋体" w:hAnsi="宋体"/>
                <w:u w:val="single"/>
                <w:lang w:eastAsia="zh-CN"/>
              </w:rPr>
              <w:t>）</w:t>
            </w:r>
            <w:r>
              <w:rPr>
                <w:rFonts w:hint="eastAsia" w:ascii="宋体" w:hAnsi="宋体"/>
                <w:u w:val="single"/>
              </w:rPr>
              <w:t>、</w:t>
            </w:r>
            <w:r>
              <w:rPr>
                <w:rFonts w:hint="eastAsia" w:ascii="宋体" w:hAnsi="宋体"/>
                <w:u w:val="single"/>
                <w:lang w:val="en-US" w:eastAsia="zh-CN"/>
              </w:rPr>
              <w:t>机械</w:t>
            </w:r>
            <w:r>
              <w:rPr>
                <w:rFonts w:hint="eastAsia" w:ascii="宋体" w:hAnsi="宋体"/>
                <w:u w:val="single"/>
              </w:rPr>
              <w:t>伤害、触电、</w:t>
            </w:r>
            <w:r>
              <w:rPr>
                <w:rFonts w:hint="eastAsia" w:ascii="宋体" w:hAnsi="宋体"/>
                <w:u w:val="single"/>
                <w:lang w:val="en-US" w:eastAsia="zh-CN"/>
              </w:rPr>
              <w:t>高温烫伤、传染病</w:t>
            </w:r>
            <w:r>
              <w:rPr>
                <w:rFonts w:hint="eastAsia" w:ascii="宋体" w:hAnsi="宋体"/>
                <w:u w:val="single"/>
              </w:rPr>
              <w:t>等。</w:t>
            </w:r>
            <w:r>
              <w:rPr>
                <w:rFonts w:ascii="宋体"/>
                <w:szCs w:val="21"/>
                <w:u w:val="single"/>
              </w:rPr>
              <w:t xml:space="preserve"> </w:t>
            </w:r>
          </w:p>
          <w:p>
            <w:pPr>
              <w:adjustRightInd w:val="0"/>
              <w:spacing w:line="360" w:lineRule="auto"/>
              <w:ind w:firstLine="210" w:firstLineChars="100"/>
              <w:jc w:val="left"/>
              <w:rPr>
                <w:rFonts w:ascii="宋体"/>
              </w:rPr>
            </w:pPr>
            <w:r>
              <w:rPr>
                <w:rFonts w:hint="eastAsia" w:ascii="宋体" w:hAnsi="宋体"/>
                <w:szCs w:val="21"/>
              </w:rPr>
              <w:t>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rPr>
              <w:sym w:font="Wingdings 2" w:char="0052"/>
            </w:r>
            <w:r>
              <w:rPr>
                <w:rFonts w:hint="eastAsia" w:ascii="宋体" w:hAnsi="宋体"/>
                <w:szCs w:val="21"/>
              </w:rPr>
              <w:t>齐全</w:t>
            </w:r>
          </w:p>
          <w:p>
            <w:pPr>
              <w:adjustRightInd w:val="0"/>
              <w:spacing w:line="360" w:lineRule="auto"/>
              <w:jc w:val="left"/>
              <w:rPr>
                <w:rFonts w:ascii="宋体" w:hAnsi="宋体" w:eastAsia="宋体" w:cs="Times New Roman"/>
                <w:kern w:val="2"/>
                <w:sz w:val="21"/>
                <w:lang w:val="en-US" w:eastAsia="zh-CN" w:bidi="ar-SA"/>
              </w:rPr>
            </w:pPr>
            <w:r>
              <w:rPr>
                <w:rFonts w:hint="eastAsia" w:ascii="宋体" w:hAnsi="宋体"/>
                <w:szCs w:val="21"/>
              </w:rPr>
              <w:sym w:font="Wingdings 2" w:char="00A3"/>
            </w:r>
            <w:r>
              <w:rPr>
                <w:rFonts w:hint="eastAsia" w:ascii="宋体" w:hAnsi="宋体"/>
                <w:szCs w:val="21"/>
              </w:rPr>
              <w:t>有遗漏，遗漏部分有：</w:t>
            </w:r>
          </w:p>
        </w:tc>
        <w:tc>
          <w:tcPr>
            <w:tcW w:w="0" w:type="auto"/>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tcPr>
          <w:p>
            <w:pPr>
              <w:rPr>
                <w:rFonts w:hint="eastAsia" w:ascii="宋体" w:hAnsi="宋体"/>
                <w:b/>
                <w:bCs/>
                <w:szCs w:val="21"/>
              </w:rPr>
            </w:pPr>
            <w:bookmarkStart w:id="1" w:name="_GoBack"/>
            <w:bookmarkEnd w:id="1"/>
          </w:p>
        </w:tc>
        <w:tc>
          <w:tcPr>
            <w:tcW w:w="0" w:type="auto"/>
          </w:tcPr>
          <w:p>
            <w:pPr>
              <w:rPr>
                <w:rFonts w:hint="eastAsi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4、查应急预案：</w:t>
            </w:r>
          </w:p>
          <w:p>
            <w:pPr>
              <w:adjustRightInd w:val="0"/>
              <w:spacing w:line="360" w:lineRule="auto"/>
              <w:jc w:val="left"/>
              <w:rPr>
                <w:rFonts w:ascii="宋体" w:hAnsi="宋体" w:eastAsia="宋体" w:cs="Times New Roman"/>
                <w:kern w:val="2"/>
                <w:sz w:val="21"/>
                <w:szCs w:val="21"/>
                <w:lang w:val="en-US" w:eastAsia="zh-CN" w:bidi="ar-SA"/>
              </w:rPr>
            </w:pPr>
            <w:r>
              <w:rPr>
                <w:rFonts w:hint="eastAsia" w:ascii="宋体" w:hAnsi="宋体"/>
                <w:szCs w:val="21"/>
              </w:rPr>
              <w:t xml:space="preserve">  有火灾、机械伤害等应急预案，并进行了演练。</w:t>
            </w:r>
          </w:p>
        </w:tc>
        <w:tc>
          <w:tcPr>
            <w:tcW w:w="0" w:type="auto"/>
          </w:tcPr>
          <w:p>
            <w:pPr>
              <w:rPr>
                <w:rFonts w:ascii="Times New Roman" w:hAnsi="Times New Roman" w:eastAsia="宋体" w:cs="Times New Roman"/>
                <w:kern w:val="2"/>
                <w:sz w:val="21"/>
                <w:lang w:val="en-US" w:eastAsia="zh-CN" w:bidi="ar-SA"/>
              </w:rPr>
            </w:p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3C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2021-01-25T02:02:21Z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