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 w:val="24"/>
                <w:szCs w:val="24"/>
                <w:lang w:val="en-US" w:eastAsia="zh-CN"/>
              </w:rPr>
            </w:pPr>
            <w:r>
              <w:rPr>
                <w:rFonts w:hint="eastAsia"/>
                <w:sz w:val="24"/>
                <w:szCs w:val="24"/>
              </w:rPr>
              <w:t>受审核部门：生产部（包括车队）     主管领导：</w:t>
            </w:r>
            <w:r>
              <w:rPr>
                <w:rFonts w:hint="eastAsia"/>
                <w:sz w:val="24"/>
                <w:szCs w:val="24"/>
                <w:lang w:val="en-US" w:eastAsia="zh-CN"/>
              </w:rPr>
              <w:t>张正兵、杨建新</w:t>
            </w:r>
            <w:r>
              <w:rPr>
                <w:rFonts w:hint="eastAsia"/>
                <w:sz w:val="24"/>
                <w:szCs w:val="24"/>
              </w:rPr>
              <w:t xml:space="preserve">      陪同人员：</w:t>
            </w:r>
            <w:r>
              <w:rPr>
                <w:rFonts w:hint="eastAsia"/>
                <w:sz w:val="24"/>
                <w:szCs w:val="24"/>
                <w:lang w:val="en-US" w:eastAsia="zh-CN"/>
              </w:rPr>
              <w:t>荣习武</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伍光华</w:t>
            </w:r>
            <w:r>
              <w:rPr>
                <w:rFonts w:hint="eastAsia"/>
                <w:sz w:val="24"/>
                <w:szCs w:val="24"/>
              </w:rPr>
              <w:t xml:space="preserve">      审核时间：20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26-27</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rPr>
                <w:sz w:val="24"/>
                <w:szCs w:val="24"/>
              </w:rPr>
            </w:pPr>
            <w:r>
              <w:rPr>
                <w:rFonts w:hint="eastAsia"/>
                <w:sz w:val="24"/>
                <w:szCs w:val="24"/>
              </w:rPr>
              <w:t>审核条款：</w:t>
            </w:r>
          </w:p>
          <w:p>
            <w:pPr>
              <w:snapToGrid w:val="0"/>
              <w:spacing w:line="260" w:lineRule="exact"/>
              <w:rPr>
                <w:rFonts w:ascii="宋体" w:hAnsi="宋体" w:cs="宋体"/>
                <w:b/>
                <w:bCs/>
                <w:szCs w:val="21"/>
              </w:rPr>
            </w:pPr>
            <w:r>
              <w:rPr>
                <w:rFonts w:hint="eastAsia" w:ascii="宋体" w:hAnsi="宋体" w:cs="宋体"/>
                <w:szCs w:val="21"/>
              </w:rPr>
              <w:t>Q:5.3/6.1/6.2/7.4/</w:t>
            </w:r>
            <w:r>
              <w:rPr>
                <w:rFonts w:hint="eastAsia" w:ascii="宋体" w:hAnsi="宋体" w:cs="宋体"/>
                <w:b/>
                <w:bCs/>
                <w:szCs w:val="21"/>
              </w:rPr>
              <w:t>7.1.3/7.1.4</w:t>
            </w:r>
            <w:r>
              <w:rPr>
                <w:rFonts w:hint="eastAsia" w:ascii="宋体" w:hAnsi="宋体" w:cs="宋体"/>
                <w:szCs w:val="21"/>
              </w:rPr>
              <w:t>/</w:t>
            </w:r>
            <w:r>
              <w:rPr>
                <w:rFonts w:hint="eastAsia" w:ascii="宋体" w:hAnsi="宋体" w:cs="宋体"/>
                <w:b/>
                <w:bCs/>
                <w:szCs w:val="21"/>
              </w:rPr>
              <w:t>8.1</w:t>
            </w:r>
            <w:r>
              <w:rPr>
                <w:rFonts w:hint="eastAsia" w:ascii="宋体" w:hAnsi="宋体" w:cs="宋体"/>
                <w:szCs w:val="21"/>
              </w:rPr>
              <w:t>/</w:t>
            </w:r>
            <w:r>
              <w:rPr>
                <w:rFonts w:hint="eastAsia" w:ascii="宋体" w:hAnsi="宋体" w:cs="宋体"/>
                <w:szCs w:val="21"/>
                <w:lang w:val="en-US" w:eastAsia="zh-CN"/>
              </w:rPr>
              <w:t>8.3</w:t>
            </w:r>
            <w:r>
              <w:rPr>
                <w:rFonts w:hint="eastAsia" w:ascii="宋体" w:hAnsi="宋体" w:cs="宋体"/>
                <w:szCs w:val="21"/>
              </w:rPr>
              <w:t>/</w:t>
            </w:r>
            <w:r>
              <w:rPr>
                <w:rFonts w:hint="eastAsia" w:ascii="宋体" w:hAnsi="宋体" w:cs="宋体"/>
                <w:b/>
                <w:bCs/>
                <w:szCs w:val="21"/>
              </w:rPr>
              <w:t>8.5.1/8.5.2/8.5.3/8.5.4</w:t>
            </w:r>
            <w:r>
              <w:rPr>
                <w:rFonts w:hint="eastAsia" w:ascii="宋体" w:hAnsi="宋体" w:cs="宋体"/>
                <w:szCs w:val="21"/>
              </w:rPr>
              <w:t>/</w:t>
            </w:r>
            <w:r>
              <w:rPr>
                <w:rFonts w:hint="eastAsia" w:ascii="宋体" w:hAnsi="宋体" w:cs="宋体"/>
                <w:b/>
                <w:bCs/>
                <w:szCs w:val="21"/>
              </w:rPr>
              <w:t>8.5.5/8.5.6</w:t>
            </w:r>
          </w:p>
          <w:p>
            <w:pPr>
              <w:snapToGrid w:val="0"/>
              <w:spacing w:line="260" w:lineRule="exact"/>
              <w:rPr>
                <w:rFonts w:ascii="宋体" w:hAnsi="宋体" w:cs="宋体"/>
                <w:szCs w:val="21"/>
              </w:rPr>
            </w:pPr>
            <w:r>
              <w:rPr>
                <w:rFonts w:hint="eastAsia" w:ascii="宋体" w:hAnsi="宋体" w:cs="宋体"/>
                <w:szCs w:val="21"/>
              </w:rPr>
              <w:t>E:5.3/6.2/</w:t>
            </w:r>
            <w:r>
              <w:rPr>
                <w:rFonts w:hint="eastAsia" w:ascii="宋体" w:hAnsi="宋体" w:cs="宋体"/>
                <w:b/>
                <w:bCs/>
                <w:szCs w:val="21"/>
              </w:rPr>
              <w:t>6.1.2/6.1.3</w:t>
            </w:r>
            <w:r>
              <w:rPr>
                <w:rFonts w:hint="eastAsia" w:ascii="宋体" w:hAnsi="宋体" w:cs="宋体"/>
                <w:szCs w:val="21"/>
              </w:rPr>
              <w:t>/</w:t>
            </w:r>
            <w:r>
              <w:rPr>
                <w:rFonts w:hint="eastAsia" w:ascii="宋体" w:hAnsi="宋体" w:cs="宋体"/>
                <w:b/>
                <w:bCs/>
                <w:szCs w:val="21"/>
              </w:rPr>
              <w:t>6.1.4</w:t>
            </w:r>
            <w:r>
              <w:rPr>
                <w:rFonts w:hint="eastAsia" w:ascii="宋体" w:hAnsi="宋体" w:cs="宋体"/>
                <w:szCs w:val="21"/>
              </w:rPr>
              <w:t>/</w:t>
            </w:r>
            <w:r>
              <w:rPr>
                <w:rFonts w:hint="eastAsia" w:ascii="宋体" w:hAnsi="宋体" w:cs="宋体"/>
                <w:b/>
                <w:bCs/>
                <w:szCs w:val="21"/>
              </w:rPr>
              <w:t>8.1</w:t>
            </w:r>
            <w:r>
              <w:rPr>
                <w:rFonts w:hint="eastAsia" w:ascii="宋体" w:hAnsi="宋体" w:cs="宋体"/>
                <w:szCs w:val="21"/>
              </w:rPr>
              <w:t>/</w:t>
            </w:r>
            <w:r>
              <w:rPr>
                <w:rFonts w:hint="eastAsia" w:ascii="宋体" w:hAnsi="宋体" w:cs="宋体"/>
                <w:b/>
                <w:bCs/>
                <w:szCs w:val="21"/>
              </w:rPr>
              <w:t>8.2/9.1.2</w:t>
            </w:r>
          </w:p>
          <w:p>
            <w:pPr>
              <w:snapToGrid w:val="0"/>
              <w:spacing w:line="260" w:lineRule="exact"/>
              <w:rPr>
                <w:sz w:val="24"/>
                <w:szCs w:val="24"/>
              </w:rPr>
            </w:pPr>
            <w:r>
              <w:rPr>
                <w:rFonts w:hint="eastAsia" w:ascii="宋体" w:hAnsi="宋体" w:cs="宋体"/>
                <w:b/>
                <w:bCs/>
                <w:szCs w:val="21"/>
              </w:rPr>
              <w:t>S：5.3/5.4/6.1.2/6.1.3/6.1.4/</w:t>
            </w:r>
            <w:r>
              <w:rPr>
                <w:rFonts w:ascii="宋体" w:hAnsi="宋体" w:cs="宋体"/>
                <w:b/>
                <w:bCs/>
                <w:szCs w:val="21"/>
              </w:rPr>
              <w:t>7.5</w:t>
            </w:r>
            <w:r>
              <w:rPr>
                <w:rFonts w:hint="eastAsia" w:ascii="宋体" w:hAnsi="宋体" w:cs="宋体"/>
                <w:b/>
                <w:bCs/>
                <w:szCs w:val="21"/>
              </w:rPr>
              <w:t>/8.1.2/8.1.3/8.2/9.1.2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heme="minorEastAsia" w:hAnsiTheme="minorEastAsia" w:eastAsiaTheme="minorEastAsia" w:cstheme="minorEastAsia"/>
                <w:szCs w:val="21"/>
              </w:rPr>
              <w:t>询查部门及人员的职责和权限，是否与规定一致？</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S5.4</w:t>
            </w:r>
          </w:p>
          <w:p>
            <w:r>
              <w:rPr>
                <w:rFonts w:hint="eastAsia" w:asciiTheme="minorEastAsia" w:hAnsiTheme="minorEastAsia" w:eastAsiaTheme="minorEastAsia" w:cstheme="minorEastAsia"/>
                <w:b/>
                <w:bCs/>
                <w:szCs w:val="21"/>
              </w:rPr>
              <w:t>Q7.4</w:t>
            </w:r>
          </w:p>
        </w:tc>
        <w:tc>
          <w:tcPr>
            <w:tcW w:w="10738" w:type="dxa"/>
          </w:tcPr>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w:t>
            </w:r>
            <w:r>
              <w:rPr>
                <w:rFonts w:hint="eastAsia" w:ascii="宋体" w:hAnsi="宋体" w:cs="宋体"/>
                <w:kern w:val="0"/>
                <w:sz w:val="24"/>
                <w:szCs w:val="24"/>
                <w:lang w:val="en-US" w:eastAsia="zh-CN"/>
              </w:rPr>
              <w:t>XTHY</w:t>
            </w:r>
            <w:r>
              <w:rPr>
                <w:rFonts w:hint="eastAsia" w:ascii="宋体" w:hAnsi="宋体" w:cs="宋体"/>
                <w:kern w:val="0"/>
                <w:sz w:val="24"/>
                <w:szCs w:val="24"/>
              </w:rPr>
              <w:t xml:space="preserve">/SC </w:t>
            </w:r>
            <w:r>
              <w:rPr>
                <w:rFonts w:ascii="宋体" w:hAnsi="宋体"/>
                <w:sz w:val="21"/>
                <w:szCs w:val="21"/>
              </w:rPr>
              <w:t>-</w:t>
            </w:r>
            <w:r>
              <w:rPr>
                <w:rFonts w:hint="eastAsia" w:ascii="宋体" w:hAnsi="宋体"/>
                <w:sz w:val="21"/>
                <w:szCs w:val="21"/>
              </w:rPr>
              <w:t xml:space="preserve"> 20</w:t>
            </w:r>
            <w:r>
              <w:rPr>
                <w:rFonts w:hint="eastAsia" w:ascii="宋体" w:hAnsi="宋体"/>
                <w:sz w:val="21"/>
                <w:szCs w:val="21"/>
                <w:lang w:val="en-US" w:eastAsia="zh-CN"/>
              </w:rPr>
              <w:t>19</w:t>
            </w:r>
            <w:r>
              <w:rPr>
                <w:rFonts w:hint="eastAsia" w:asciiTheme="minorEastAsia" w:hAnsiTheme="minorEastAsia" w:eastAsiaTheme="minorEastAsia" w:cstheme="minorEastAsia"/>
                <w:szCs w:val="21"/>
              </w:rPr>
              <w:t>管理制度及职责汇编，通过对《管理手册》及</w:t>
            </w:r>
            <w:r>
              <w:rPr>
                <w:rFonts w:hint="eastAsia" w:ascii="宋体" w:hAnsi="宋体" w:cs="宋体"/>
                <w:kern w:val="0"/>
                <w:sz w:val="24"/>
                <w:szCs w:val="24"/>
                <w:lang w:val="en-US" w:eastAsia="zh-CN"/>
              </w:rPr>
              <w:t>XTHY</w:t>
            </w:r>
            <w:r>
              <w:rPr>
                <w:rFonts w:hint="eastAsia" w:ascii="宋体" w:hAnsi="宋体" w:cs="宋体"/>
                <w:kern w:val="0"/>
                <w:sz w:val="24"/>
                <w:szCs w:val="24"/>
              </w:rPr>
              <w:t>/SC</w:t>
            </w:r>
            <w:r>
              <w:rPr>
                <w:rFonts w:ascii="宋体" w:hAnsi="宋体"/>
                <w:sz w:val="21"/>
                <w:szCs w:val="21"/>
              </w:rPr>
              <w:t>-</w:t>
            </w:r>
            <w:r>
              <w:rPr>
                <w:rFonts w:hint="eastAsia" w:ascii="宋体" w:hAnsi="宋体"/>
                <w:sz w:val="21"/>
                <w:szCs w:val="21"/>
              </w:rPr>
              <w:t xml:space="preserve"> 20</w:t>
            </w:r>
            <w:r>
              <w:rPr>
                <w:rFonts w:hint="eastAsia" w:ascii="宋体" w:hAnsi="宋体"/>
                <w:sz w:val="21"/>
                <w:szCs w:val="21"/>
                <w:lang w:val="en-US" w:eastAsia="zh-CN"/>
              </w:rPr>
              <w:t>19</w:t>
            </w:r>
            <w:r>
              <w:rPr>
                <w:rFonts w:hint="eastAsia" w:asciiTheme="minorEastAsia" w:hAnsiTheme="minorEastAsia" w:eastAsiaTheme="minorEastAsia" w:cstheme="minorEastAsia"/>
                <w:szCs w:val="21"/>
              </w:rPr>
              <w:t>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生产部部长</w:t>
            </w:r>
            <w:r>
              <w:rPr>
                <w:rFonts w:hint="eastAsia"/>
                <w:sz w:val="21"/>
                <w:szCs w:val="21"/>
                <w:lang w:val="en-US" w:eastAsia="zh-CN"/>
              </w:rPr>
              <w:t>张正兵</w:t>
            </w:r>
            <w:r>
              <w:rPr>
                <w:rFonts w:hint="eastAsia"/>
                <w:sz w:val="21"/>
                <w:szCs w:val="21"/>
              </w:rPr>
              <w:t xml:space="preserve"> </w:t>
            </w:r>
            <w:r>
              <w:rPr>
                <w:rFonts w:hint="eastAsia" w:asciiTheme="minorEastAsia" w:hAnsiTheme="minorEastAsia" w:eastAsiaTheme="minorEastAsia" w:cstheme="minorEastAsia"/>
                <w:szCs w:val="21"/>
              </w:rPr>
              <w:t>，车队队长</w:t>
            </w:r>
            <w:r>
              <w:rPr>
                <w:rFonts w:hint="eastAsia" w:asciiTheme="minorEastAsia" w:hAnsiTheme="minorEastAsia" w:eastAsiaTheme="minorEastAsia" w:cstheme="minorEastAsia"/>
                <w:color w:val="auto"/>
                <w:szCs w:val="21"/>
                <w:lang w:val="en-US" w:eastAsia="zh-CN"/>
              </w:rPr>
              <w:t>杨建新</w:t>
            </w:r>
            <w:r>
              <w:rPr>
                <w:rFonts w:hint="eastAsia" w:asciiTheme="minorEastAsia" w:hAnsiTheme="minorEastAsia" w:eastAsiaTheme="minorEastAsia" w:cstheme="minorEastAsia"/>
                <w:szCs w:val="21"/>
              </w:rPr>
              <w:t>，另有生产计划员、技术员、设备维护员、技能工人等人员，具体负责基础设施管理、过程运行环境控制、产品实现过程的策划控制、生产和服务提供过程确认控制、标识和可追溯性控制、产品防护控制、变更控制、纠正措施控制、预防措施控制、危险源、环境因素识别及评价控制、目标指标和管理方案控制、运行控制、应急准备和响应控制等。</w:t>
            </w:r>
          </w:p>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与生产部部长</w:t>
            </w:r>
            <w:r>
              <w:rPr>
                <w:rFonts w:hint="eastAsia"/>
                <w:sz w:val="21"/>
                <w:szCs w:val="21"/>
                <w:lang w:val="en-US" w:eastAsia="zh-CN"/>
              </w:rPr>
              <w:t>张正兵</w:t>
            </w:r>
            <w:r>
              <w:rPr>
                <w:rFonts w:hint="eastAsia" w:asciiTheme="minorEastAsia" w:hAnsiTheme="minorEastAsia" w:eastAsiaTheme="minorEastAsia" w:cstheme="minorEastAsia"/>
                <w:szCs w:val="21"/>
              </w:rPr>
              <w:t>、车队队长</w:t>
            </w:r>
            <w:r>
              <w:rPr>
                <w:rFonts w:hint="eastAsia" w:asciiTheme="minorEastAsia" w:hAnsiTheme="minorEastAsia" w:eastAsiaTheme="minorEastAsia" w:cstheme="minorEastAsia"/>
                <w:color w:val="auto"/>
                <w:szCs w:val="21"/>
                <w:lang w:val="en-US" w:eastAsia="zh-CN"/>
              </w:rPr>
              <w:t>刘军</w:t>
            </w:r>
            <w:r>
              <w:rPr>
                <w:rFonts w:hint="eastAsia" w:asciiTheme="minorEastAsia" w:hAnsiTheme="minorEastAsia" w:eastAsiaTheme="minorEastAsia" w:cstheme="minorEastAsia"/>
                <w:szCs w:val="21"/>
              </w:rPr>
              <w:t>沟通，对本部门的主要工作及部门员工的职责和权限比较了解，基本符合。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询问设备维护员黄于乐，对其本岗位的职责和权限了解清楚，基本符合。</w:t>
            </w:r>
          </w:p>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S6.1.1</w:t>
            </w:r>
          </w:p>
          <w:p/>
        </w:tc>
        <w:tc>
          <w:tcPr>
            <w:tcW w:w="10738" w:type="dxa"/>
          </w:tcPr>
          <w:p>
            <w:pPr>
              <w:numPr>
                <w:ilvl w:val="3"/>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过程方法及风险评价识别了本部门的质量、环境、职业健康安全风险及应对措施的策划，有《风险和机遇识别及应对措施表》，将需要应对的风险和机遇进行风险分析确定风险级别（低、一般。高），在质量管理体系所确定的过程（客户需求；原法规要求；原材料供应；售后服务；生产能力；公司运营；资源控制等）中，整合制定针对性应对措施（如完善公司管理文件等）。</w:t>
            </w:r>
          </w:p>
          <w:p>
            <w:pPr>
              <w:ind w:firstLine="210" w:firstLineChars="100"/>
            </w:pPr>
            <w:r>
              <w:rPr>
                <w:rFonts w:hint="eastAsia" w:asciiTheme="minorEastAsia" w:hAnsiTheme="minorEastAsia" w:eastAsiaTheme="minorEastAsia" w:cstheme="minorEastAsia"/>
                <w:szCs w:val="21"/>
              </w:rPr>
              <w:t>并于20</w:t>
            </w:r>
            <w:r>
              <w:rPr>
                <w:rFonts w:hint="eastAsia" w:asciiTheme="minorEastAsia" w:hAnsiTheme="minorEastAsia" w:eastAsiaTheme="minorEastAsia" w:cstheme="minorEastAsia"/>
                <w:szCs w:val="21"/>
                <w:lang w:val="en-US" w:eastAsia="zh-CN"/>
              </w:rPr>
              <w:t>19.12.28</w:t>
            </w:r>
            <w:r>
              <w:rPr>
                <w:rFonts w:hint="eastAsia" w:asciiTheme="minorEastAsia" w:hAnsiTheme="minorEastAsia" w:eastAsiaTheme="minorEastAsia" w:cstheme="minorEastAsia"/>
                <w:szCs w:val="21"/>
              </w:rPr>
              <w:t>进行了措施有效性的评审，结果为有效，编制：</w:t>
            </w:r>
            <w:r>
              <w:rPr>
                <w:rFonts w:hint="eastAsia" w:asciiTheme="minorEastAsia" w:hAnsiTheme="minorEastAsia" w:eastAsiaTheme="minorEastAsia" w:cstheme="minorEastAsia"/>
                <w:szCs w:val="21"/>
                <w:lang w:val="en-US" w:eastAsia="zh-CN"/>
              </w:rPr>
              <w:t>杜雷</w:t>
            </w:r>
            <w:r>
              <w:rPr>
                <w:rFonts w:hint="eastAsia" w:asciiTheme="minorEastAsia" w:hAnsiTheme="minorEastAsia" w:eastAsiaTheme="minorEastAsia" w:cstheme="minorEastAsia"/>
                <w:szCs w:val="21"/>
              </w:rPr>
              <w:t xml:space="preserve">    批准：</w:t>
            </w:r>
            <w:r>
              <w:rPr>
                <w:rFonts w:hint="eastAsia" w:asciiTheme="minorEastAsia" w:hAnsiTheme="minorEastAsia" w:eastAsiaTheme="minorEastAsia" w:cstheme="minorEastAsia"/>
                <w:szCs w:val="21"/>
                <w:lang w:val="en-US" w:eastAsia="zh-CN"/>
              </w:rPr>
              <w:t>荣绪兵</w:t>
            </w:r>
            <w:r>
              <w:rPr>
                <w:rFonts w:hint="eastAsia" w:asciiTheme="minorEastAsia" w:hAnsiTheme="minorEastAsia" w:eastAsiaTheme="minorEastAsia" w:cstheme="minorEastAsia"/>
                <w:szCs w:val="21"/>
              </w:rPr>
              <w:t>。</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Q7.4</w:t>
            </w: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查有公司公司级管理目标，并按照部门对目标进行分解，有目标管理管理规定，规定了目标的分解及考核的具体方法。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月份生产部质量、环境、职业健康安全目标统计情况</w:t>
            </w:r>
          </w:p>
          <w:p>
            <w:pPr>
              <w:spacing w:line="360" w:lineRule="auto"/>
              <w:ind w:firstLine="420" w:firstLineChars="200"/>
              <w:rPr>
                <w:rFonts w:asciiTheme="minorEastAsia" w:hAnsiTheme="minorEastAsia" w:eastAsiaTheme="minorEastAsia" w:cstheme="minorEastAsia"/>
                <w:szCs w:val="21"/>
              </w:rPr>
            </w:pPr>
            <w:r>
              <w:drawing>
                <wp:inline distT="0" distB="0" distL="114300" distR="114300">
                  <wp:extent cx="5937250" cy="17907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937250" cy="1790700"/>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月30日 ，</w:t>
            </w:r>
            <w:r>
              <w:rPr>
                <w:rFonts w:hint="eastAsia" w:asciiTheme="minorEastAsia" w:hAnsiTheme="minorEastAsia" w:eastAsiaTheme="minorEastAsia" w:cstheme="minorEastAsia"/>
                <w:szCs w:val="21"/>
                <w:lang w:val="en-US" w:eastAsia="zh-CN"/>
              </w:rPr>
              <w:t>杜雷</w:t>
            </w:r>
            <w:r>
              <w:rPr>
                <w:rFonts w:hint="eastAsia" w:asciiTheme="minorEastAsia" w:hAnsiTheme="minorEastAsia" w:eastAsiaTheme="minorEastAsia" w:cstheme="minorEastAsia"/>
                <w:szCs w:val="21"/>
              </w:rPr>
              <w:t>进行了统计及目标实现分析，经查，达成目标，并将管理目标完成情况在公司会议上进行通报。</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环境管理方案：</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 《环境目标、指标、管理方案》， 管理方案内容包括如下：环境目标、环境指标、管理措施、完成时间、责任部门等内容。具有一定的可操作性。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对噪声达标排放 采取措施如下：1.</w:t>
            </w:r>
            <w:r>
              <w:rPr>
                <w:rFonts w:hint="eastAsia"/>
              </w:rPr>
              <w:t xml:space="preserve"> </w:t>
            </w:r>
            <w:r>
              <w:rPr>
                <w:rFonts w:hint="eastAsia" w:asciiTheme="minorEastAsia" w:hAnsiTheme="minorEastAsia" w:eastAsiaTheme="minorEastAsia" w:cstheme="minorEastAsia"/>
                <w:szCs w:val="21"/>
              </w:rPr>
              <w:t>建立环境保护管理规定；噪声隔离，减少接触时间；2.</w:t>
            </w:r>
            <w:r>
              <w:rPr>
                <w:rFonts w:hint="eastAsia"/>
              </w:rPr>
              <w:t xml:space="preserve"> </w:t>
            </w:r>
            <w:r>
              <w:rPr>
                <w:rFonts w:hint="eastAsia" w:asciiTheme="minorEastAsia" w:hAnsiTheme="minorEastAsia" w:eastAsiaTheme="minorEastAsia" w:cstheme="minorEastAsia"/>
                <w:szCs w:val="21"/>
              </w:rPr>
              <w:t>加强设备维修保养润滑，减少噪声排放。完成情况：于20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24</w:t>
            </w:r>
            <w:r>
              <w:rPr>
                <w:rFonts w:hint="eastAsia" w:asciiTheme="minorEastAsia" w:hAnsiTheme="minorEastAsia" w:eastAsiaTheme="minorEastAsia" w:cstheme="minorEastAsia"/>
                <w:szCs w:val="21"/>
              </w:rPr>
              <w:t>日对生产车间进行噪声控制检查，符合要求。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对粉尘达标排放 采取措施如下：1.</w:t>
            </w:r>
            <w:r>
              <w:rPr>
                <w:rFonts w:hint="eastAsia"/>
              </w:rPr>
              <w:t xml:space="preserve"> </w:t>
            </w:r>
            <w:r>
              <w:rPr>
                <w:rFonts w:hint="eastAsia" w:asciiTheme="minorEastAsia" w:hAnsiTheme="minorEastAsia" w:eastAsiaTheme="minorEastAsia" w:cstheme="minorEastAsia"/>
                <w:szCs w:val="21"/>
              </w:rPr>
              <w:t>建立生产现场环境保护管理制度，定时洒水、清扫；2.</w:t>
            </w:r>
            <w:r>
              <w:rPr>
                <w:rFonts w:hint="eastAsia"/>
              </w:rPr>
              <w:t xml:space="preserve"> </w:t>
            </w:r>
            <w:r>
              <w:rPr>
                <w:rFonts w:hint="eastAsia" w:asciiTheme="minorEastAsia" w:hAnsiTheme="minorEastAsia" w:eastAsiaTheme="minorEastAsia" w:cstheme="minorEastAsia"/>
                <w:szCs w:val="21"/>
              </w:rPr>
              <w:t>原材料堆场、生产车间正在进行全覆盖工程。完成情况：于20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24</w:t>
            </w:r>
            <w:r>
              <w:rPr>
                <w:rFonts w:hint="eastAsia" w:asciiTheme="minorEastAsia" w:hAnsiTheme="minorEastAsia" w:eastAsiaTheme="minorEastAsia" w:cstheme="minorEastAsia"/>
                <w:szCs w:val="21"/>
              </w:rPr>
              <w:t>日对生产车间进行粉尘控制检查，符合要求。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职业健康安全管理方案：</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编号</w:t>
            </w:r>
            <w:r>
              <w:rPr>
                <w:rFonts w:hint="eastAsia" w:asciiTheme="minorEastAsia" w:hAnsiTheme="minorEastAsia" w:eastAsiaTheme="minorEastAsia" w:cstheme="minorEastAsia"/>
                <w:szCs w:val="21"/>
              </w:rPr>
              <w:t>《职业健康安全目标及管理方案》，管理方案内容如下：</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查看管理方案及实施情况：目标、对应不可接受风险、管理措施、实施时间等内容。具有一定的可操作性。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高空坠落</w:t>
            </w:r>
            <w:r>
              <w:rPr>
                <w:rFonts w:hint="eastAsia" w:asciiTheme="minorEastAsia" w:hAnsiTheme="minorEastAsia" w:eastAsiaTheme="minorEastAsia" w:cstheme="minorEastAsia"/>
                <w:szCs w:val="21"/>
              </w:rPr>
              <w:t xml:space="preserve"> 采取措施如下：周边防护高处高于作业面。完成情况：于20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职业病 采取措施如下：预防职业病，佩戴防护罩和耳塞。完成情况：于20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月30日检查生产车间，重要岗位佩戴了防护用品。</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运输伤害 采取措施如下：加强司机安全教育，车辆转弯注意盲区。完成情况：于20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w:t>
            </w:r>
            <w:r>
              <w:rPr>
                <w:rFonts w:hint="eastAsia" w:asciiTheme="minorEastAsia" w:hAnsiTheme="minorEastAsia" w:eastAsiaTheme="minorEastAsia" w:cstheme="minorEastAsia"/>
                <w:szCs w:val="21"/>
                <w:lang w:val="en-US" w:eastAsia="zh-CN"/>
              </w:rPr>
              <w:t>部</w:t>
            </w:r>
            <w:r>
              <w:rPr>
                <w:rFonts w:hint="eastAsia" w:asciiTheme="minorEastAsia" w:hAnsiTheme="minorEastAsia" w:eastAsiaTheme="minorEastAsia" w:cstheme="minorEastAsia"/>
                <w:szCs w:val="21"/>
              </w:rPr>
              <w:t>车</w:t>
            </w:r>
            <w:r>
              <w:rPr>
                <w:rFonts w:hint="eastAsia" w:asciiTheme="minorEastAsia" w:hAnsiTheme="minorEastAsia" w:eastAsiaTheme="minorEastAsia" w:cstheme="minorEastAsia"/>
                <w:szCs w:val="21"/>
                <w:lang w:val="en-US" w:eastAsia="zh-CN"/>
              </w:rPr>
              <w:t>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车队司机安全意识加强，规范开车。</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机械伤害 采取措施如下：为杜绝机械伤害，在设备使用前进行全面检查，制定设备安全操作规程。完成情况：于20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月30日进行了检测，规范操作。</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火灾爆炸 采取措施如下：加强安全教育，杜绝违规操作，定期安全生产检查。完成情况：于2020年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触电 采取措施如下：加强安全教育，杜绝违规操作，，禁止乱接乱搭电线，定期安全生产检查。完成情况：于2020年7月30日检查生产车间规范接线，符合要求。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8"/>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查现场基础设施（车间现场观察）(车队车辆管理)</w:t>
            </w:r>
          </w:p>
        </w:tc>
        <w:tc>
          <w:tcPr>
            <w:tcW w:w="9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Q7.1.3</w:t>
            </w:r>
          </w:p>
        </w:tc>
        <w:tc>
          <w:tcPr>
            <w:tcW w:w="10738"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查看《基 础 设 施 汇 总 表》</w:t>
            </w:r>
            <w:r>
              <w:t>编号：JL/713-01</w:t>
            </w:r>
            <w:r>
              <w:rPr>
                <w:rFonts w:hint="eastAsia" w:asciiTheme="minorEastAsia" w:hAnsiTheme="minorEastAsia" w:eastAsiaTheme="minorEastAsia" w:cstheme="minorEastAsia"/>
                <w:bCs/>
                <w:szCs w:val="21"/>
              </w:rPr>
              <w:t>，生产设备有：</w:t>
            </w:r>
          </w:p>
          <w:p>
            <w:pPr>
              <w:spacing w:line="360" w:lineRule="auto"/>
              <w:rPr>
                <w:rFonts w:hint="eastAsia" w:asciiTheme="minorEastAsia" w:hAnsiTheme="minorEastAsia" w:eastAsiaTheme="minorEastAsia" w:cstheme="minorEastAsia"/>
                <w:bCs/>
                <w:szCs w:val="21"/>
              </w:rPr>
            </w:pPr>
            <w:r>
              <w:drawing>
                <wp:inline distT="0" distB="0" distL="114300" distR="114300">
                  <wp:extent cx="5920740" cy="3919855"/>
                  <wp:effectExtent l="0" t="0" r="10160" b="444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5920740" cy="3919855"/>
                          </a:xfrm>
                          <a:prstGeom prst="rect">
                            <a:avLst/>
                          </a:prstGeom>
                          <a:noFill/>
                          <a:ln>
                            <a:noFill/>
                          </a:ln>
                        </pic:spPr>
                      </pic:pic>
                    </a:graphicData>
                  </a:graphic>
                </wp:inline>
              </w:drawing>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等，基本满足生产要求。</w:t>
            </w:r>
          </w:p>
          <w:p>
            <w:pPr>
              <w:pStyle w:val="8"/>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监测资源：电热鼓风恒温干燥箱、标准恒温恒湿养护箱</w:t>
            </w:r>
            <w:r>
              <w:rPr>
                <w:rFonts w:asciiTheme="minorEastAsia" w:hAnsiTheme="minorEastAsia" w:eastAsiaTheme="minorEastAsia" w:cstheme="minorEastAsia"/>
                <w:bCs/>
                <w:color w:val="auto"/>
                <w:sz w:val="21"/>
                <w:szCs w:val="21"/>
              </w:rPr>
              <w:t>YH-408、</w:t>
            </w:r>
            <w:r>
              <w:rPr>
                <w:rFonts w:hint="eastAsia" w:asciiTheme="minorEastAsia" w:hAnsiTheme="minorEastAsia" w:eastAsiaTheme="minorEastAsia" w:cstheme="minorEastAsia"/>
                <w:bCs/>
                <w:color w:val="auto"/>
                <w:sz w:val="21"/>
                <w:szCs w:val="21"/>
              </w:rPr>
              <w:t xml:space="preserve">水泥胶砂流动度测定仪、水泥胶砂振实台 </w:t>
            </w:r>
            <w:r>
              <w:rPr>
                <w:rFonts w:asciiTheme="minorEastAsia" w:hAnsiTheme="minorEastAsia" w:eastAsiaTheme="minorEastAsia" w:cstheme="minorEastAsia"/>
                <w:bCs/>
                <w:color w:val="auto"/>
                <w:sz w:val="21"/>
                <w:szCs w:val="21"/>
              </w:rPr>
              <w:t>2S-15、</w:t>
            </w:r>
            <w:r>
              <w:rPr>
                <w:rFonts w:hint="eastAsia" w:asciiTheme="minorEastAsia" w:hAnsiTheme="minorEastAsia" w:eastAsiaTheme="minorEastAsia" w:cstheme="minorEastAsia"/>
                <w:bCs/>
                <w:color w:val="auto"/>
                <w:sz w:val="21"/>
                <w:szCs w:val="21"/>
              </w:rPr>
              <w:t>水泥胶砂搅拌机、水泥细度值压筛析仪</w:t>
            </w:r>
            <w:r>
              <w:rPr>
                <w:rFonts w:asciiTheme="minorEastAsia" w:hAnsiTheme="minorEastAsia" w:eastAsiaTheme="minorEastAsia" w:cstheme="minorEastAsia"/>
                <w:bCs/>
                <w:color w:val="auto"/>
                <w:sz w:val="21"/>
                <w:szCs w:val="21"/>
              </w:rPr>
              <w:t>FYS- 150</w:t>
            </w:r>
            <w:r>
              <w:rPr>
                <w:rFonts w:hint="eastAsia" w:asciiTheme="minorEastAsia" w:hAnsiTheme="minorEastAsia" w:eastAsiaTheme="minorEastAsia" w:cstheme="minorEastAsia"/>
                <w:bCs/>
                <w:color w:val="auto"/>
                <w:sz w:val="21"/>
                <w:szCs w:val="21"/>
              </w:rPr>
              <w:t>、水泥净浆搅拌机、数显压力试验机J</w:t>
            </w:r>
            <w:r>
              <w:rPr>
                <w:rFonts w:asciiTheme="minorEastAsia" w:hAnsiTheme="minorEastAsia" w:eastAsiaTheme="minorEastAsia" w:cstheme="minorEastAsia"/>
                <w:bCs/>
                <w:color w:val="auto"/>
                <w:sz w:val="21"/>
                <w:szCs w:val="21"/>
              </w:rPr>
              <w:t>YE- 200</w:t>
            </w:r>
            <w:r>
              <w:rPr>
                <w:rFonts w:hint="eastAsia" w:asciiTheme="minorEastAsia" w:hAnsiTheme="minorEastAsia" w:eastAsiaTheme="minorEastAsia" w:cstheme="minorEastAsia"/>
                <w:bCs/>
                <w:color w:val="auto"/>
                <w:sz w:val="21"/>
                <w:szCs w:val="21"/>
              </w:rPr>
              <w:t>0、电动抗折试验机</w:t>
            </w:r>
            <w:r>
              <w:rPr>
                <w:rFonts w:asciiTheme="minorEastAsia" w:hAnsiTheme="minorEastAsia" w:eastAsiaTheme="minorEastAsia" w:cstheme="minorEastAsia"/>
                <w:bCs/>
                <w:color w:val="auto"/>
                <w:sz w:val="21"/>
                <w:szCs w:val="21"/>
              </w:rPr>
              <w:t>KZJ-500、</w:t>
            </w:r>
            <w:r>
              <w:rPr>
                <w:rFonts w:hint="eastAsia" w:asciiTheme="minorEastAsia" w:hAnsiTheme="minorEastAsia" w:eastAsiaTheme="minorEastAsia" w:cstheme="minorEastAsia"/>
                <w:bCs/>
                <w:color w:val="auto"/>
                <w:sz w:val="21"/>
                <w:szCs w:val="21"/>
              </w:rPr>
              <w:t>水泥快速养护箱、全自动恒应力压力试验机、混凝土贯入阻力仪、沸煮箱、石子压碎指标测定仪、单轴强制式混凝土搅拌机、混凝土振动台、电子天平J</w:t>
            </w:r>
            <w:r>
              <w:rPr>
                <w:rFonts w:asciiTheme="minorEastAsia" w:hAnsiTheme="minorEastAsia" w:eastAsiaTheme="minorEastAsia" w:cstheme="minorEastAsia"/>
                <w:bCs/>
                <w:color w:val="auto"/>
                <w:sz w:val="21"/>
                <w:szCs w:val="21"/>
              </w:rPr>
              <w:t>EA50Z</w:t>
            </w:r>
            <w:r>
              <w:rPr>
                <w:rFonts w:hint="eastAsia" w:asciiTheme="minorEastAsia" w:hAnsiTheme="minorEastAsia" w:eastAsiaTheme="minorEastAsia" w:cstheme="minorEastAsia"/>
                <w:bCs/>
                <w:color w:val="auto"/>
                <w:sz w:val="21"/>
                <w:szCs w:val="21"/>
              </w:rPr>
              <w:t>、电子计重称、称重显示器</w:t>
            </w:r>
            <w:r>
              <w:rPr>
                <w:rFonts w:asciiTheme="minorEastAsia" w:hAnsiTheme="minorEastAsia" w:eastAsiaTheme="minorEastAsia" w:cstheme="minorEastAsia"/>
                <w:bCs/>
                <w:color w:val="auto"/>
                <w:sz w:val="21"/>
                <w:szCs w:val="21"/>
              </w:rPr>
              <w:t>XK3100-B2、</w:t>
            </w:r>
            <w:r>
              <w:rPr>
                <w:rFonts w:hint="eastAsia" w:asciiTheme="minorEastAsia" w:hAnsiTheme="minorEastAsia" w:eastAsiaTheme="minorEastAsia" w:cstheme="minorEastAsia"/>
                <w:bCs/>
                <w:color w:val="auto"/>
                <w:sz w:val="21"/>
                <w:szCs w:val="21"/>
              </w:rPr>
              <w:t>震击式标准振筛机</w:t>
            </w:r>
            <w:r>
              <w:rPr>
                <w:rFonts w:asciiTheme="minorEastAsia" w:hAnsiTheme="minorEastAsia" w:eastAsiaTheme="minorEastAsia" w:cstheme="minorEastAsia"/>
                <w:bCs/>
                <w:color w:val="auto"/>
                <w:sz w:val="21"/>
                <w:szCs w:val="21"/>
              </w:rPr>
              <w:t>ZHSX-92N、</w:t>
            </w:r>
            <w:r>
              <w:rPr>
                <w:rFonts w:hint="eastAsia" w:asciiTheme="minorEastAsia" w:hAnsiTheme="minorEastAsia" w:eastAsiaTheme="minorEastAsia" w:cstheme="minorEastAsia"/>
                <w:bCs/>
                <w:color w:val="auto"/>
                <w:sz w:val="21"/>
                <w:szCs w:val="21"/>
              </w:rPr>
              <w:t>养护室标准控制仪等，提供检定合格证书（见附件）。（见</w:t>
            </w:r>
            <w:r>
              <w:rPr>
                <w:rFonts w:hint="eastAsia" w:asciiTheme="minorEastAsia" w:hAnsiTheme="minorEastAsia" w:eastAsiaTheme="minorEastAsia" w:cstheme="minorEastAsia"/>
                <w:bCs/>
                <w:color w:val="auto"/>
                <w:sz w:val="21"/>
                <w:szCs w:val="21"/>
                <w:lang w:val="en-US" w:eastAsia="zh-CN"/>
              </w:rPr>
              <w:t>实验</w:t>
            </w:r>
            <w:r>
              <w:rPr>
                <w:rFonts w:hint="eastAsia" w:asciiTheme="minorEastAsia" w:hAnsiTheme="minorEastAsia" w:eastAsiaTheme="minorEastAsia" w:cstheme="minorEastAsia"/>
                <w:bCs/>
                <w:color w:val="auto"/>
                <w:sz w:val="21"/>
                <w:szCs w:val="21"/>
              </w:rPr>
              <w:t>室检查记录）</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办公设备：电脑、打印机、传真机、电话等。提供维修保养计划及记录，满足要求。</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环保设施包括：垃圾桶、消防设施</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沉淀池</w:t>
            </w:r>
            <w:r>
              <w:rPr>
                <w:rFonts w:hint="eastAsia" w:asciiTheme="minorEastAsia" w:hAnsiTheme="minorEastAsia" w:eastAsiaTheme="minorEastAsia" w:cstheme="minorEastAsia"/>
                <w:bCs/>
                <w:szCs w:val="21"/>
              </w:rPr>
              <w:t>；</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安全设施配置主要有：标识牌、灭火器、消防器材等，生产部定期维护与保养。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公司根据的需要，配备了行政办公用房及通讯、信息系统等基础设施， 并配备有办公桌椅，水电、空调、会议室、消防设施设备，并有电脑、打印机、电话、传真机、复印机等办公设备；满足办公需要。</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查看《设备检修计划》及《设备保养记录》及现场“设备点检表”。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见：依照计划进行设备设施的升级、维护、更换、配备，相关设施配备和管理比较完善。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查：《设备保养记录》及现场《混凝土搅拌系统·</w:t>
            </w:r>
            <w:r>
              <w:rPr>
                <w:rFonts w:hint="default" w:ascii="Tahoma" w:hAnsi="Tahoma" w:eastAsia="Tahoma" w:cs="Tahoma"/>
                <w:i w:val="0"/>
                <w:color w:val="000000"/>
                <w:kern w:val="0"/>
                <w:sz w:val="21"/>
                <w:szCs w:val="21"/>
                <w:u w:val="none"/>
                <w:lang w:val="en-US" w:eastAsia="zh-CN" w:bidi="ar"/>
              </w:rPr>
              <w:t>HZS-180</w:t>
            </w:r>
            <w:r>
              <w:rPr>
                <w:rFonts w:hint="eastAsia" w:asciiTheme="minorEastAsia" w:hAnsiTheme="minorEastAsia" w:eastAsiaTheme="minorEastAsia" w:cstheme="minorEastAsia"/>
                <w:bCs/>
                <w:szCs w:val="21"/>
              </w:rPr>
              <w:t>点检表》，设备管理人：</w:t>
            </w:r>
            <w:r>
              <w:rPr>
                <w:rFonts w:hint="eastAsia" w:asciiTheme="minorEastAsia" w:hAnsiTheme="minorEastAsia" w:eastAsiaTheme="minorEastAsia" w:cstheme="minorEastAsia"/>
                <w:bCs/>
                <w:szCs w:val="21"/>
                <w:lang w:val="en-US" w:eastAsia="zh-CN"/>
              </w:rPr>
              <w:t>张显清</w:t>
            </w:r>
            <w:r>
              <w:rPr>
                <w:rFonts w:hint="eastAsia" w:asciiTheme="minorEastAsia" w:hAnsiTheme="minorEastAsia" w:eastAsiaTheme="minorEastAsia" w:cstheme="minorEastAsia"/>
                <w:bCs/>
                <w:szCs w:val="21"/>
              </w:rPr>
              <w:t>，保养项目：压缩机、曲轴箱油位的检查、空气进气滤清器的检查和清洁、润滑油的检查和清洁、石油类润滑油、曲轴箱润滑油更换、卸荷活塞0形圈、压缩机的气阀一检查,清沽或更担、中冷器外观清洁、检查低油位开关、手动安全阀、V形皮带、检查皮带松紧度、电机轴承的检查和润滑、电动机的清洁、后冷却器、后冷却器外部清洁、后冷却器内部清洁、检查异常声音和振动、检查泄漏、油杯内润滑油量、各润滑点、搅拌轴清洗清洁、搅拌叶片、衬板、粉料罐的除尘器滤芯、螺栓、螺母松动、空压机的储气罐排水、油雾器的油面高度、气动蝶阀、气动电磁阀、收尘机系统等是否正常，保养级别，每日点检，保养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年6月1-30日。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查到混凝土搅拌系统·</w:t>
            </w:r>
            <w:r>
              <w:rPr>
                <w:rFonts w:hint="default" w:ascii="Tahoma" w:hAnsi="Tahoma" w:eastAsia="Tahoma" w:cs="Tahoma"/>
                <w:i w:val="0"/>
                <w:color w:val="000000"/>
                <w:kern w:val="0"/>
                <w:sz w:val="21"/>
                <w:szCs w:val="21"/>
                <w:u w:val="none"/>
                <w:lang w:val="en-US" w:eastAsia="zh-CN" w:bidi="ar"/>
              </w:rPr>
              <w:t>HZS-180</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主要部件的升级、维护：搅拌主机、称量部分、皮带运输机、粉料罐、螺旋运输机、控制室、配料站、外加剂泵等，时间20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年5月16日。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查：《设备保养记录》砂石分离机（污水处理），设备管理人：</w:t>
            </w:r>
            <w:r>
              <w:rPr>
                <w:rFonts w:hint="eastAsia" w:asciiTheme="minorEastAsia" w:hAnsiTheme="minorEastAsia" w:eastAsiaTheme="minorEastAsia" w:cstheme="minorEastAsia"/>
                <w:bCs/>
                <w:szCs w:val="21"/>
                <w:lang w:val="en-US" w:eastAsia="zh-CN"/>
              </w:rPr>
              <w:t>徐金成、陈友</w:t>
            </w:r>
            <w:r>
              <w:rPr>
                <w:rFonts w:hint="eastAsia" w:asciiTheme="minorEastAsia" w:hAnsiTheme="minorEastAsia" w:eastAsiaTheme="minorEastAsia" w:cstheme="minorEastAsia"/>
                <w:bCs/>
                <w:szCs w:val="21"/>
              </w:rPr>
              <w:t>，保养项目：分砂机下端的密封装置每半年注黄油(3号钙基润滑脂ZG-3GB491-65)、分石机及分砂机两端轴承每半年注黄油、分离机两端的链条加黄油、减速机应经常检查, 且定期更换润滑油，保养级别，每日点检，保养日期：20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年6月1-30日；</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查：《设备保养记录》水泥搅拌车、汽车泵，设备管理人：</w:t>
            </w:r>
            <w:r>
              <w:rPr>
                <w:rFonts w:hint="eastAsia" w:asciiTheme="minorEastAsia" w:hAnsiTheme="minorEastAsia" w:eastAsiaTheme="minorEastAsia" w:cstheme="minorEastAsia"/>
                <w:bCs/>
                <w:szCs w:val="21"/>
                <w:lang w:val="en-US" w:eastAsia="zh-CN"/>
              </w:rPr>
              <w:t>张显清</w:t>
            </w:r>
            <w:r>
              <w:rPr>
                <w:rFonts w:hint="eastAsia" w:asciiTheme="minorEastAsia" w:hAnsiTheme="minorEastAsia" w:eastAsiaTheme="minorEastAsia" w:cstheme="minorEastAsia"/>
                <w:bCs/>
                <w:szCs w:val="21"/>
              </w:rPr>
              <w:t>，保养项目：</w:t>
            </w:r>
            <w:r>
              <w:rPr>
                <w:rFonts w:asciiTheme="minorEastAsia" w:hAnsiTheme="minorEastAsia" w:eastAsiaTheme="minorEastAsia" w:cstheme="minorEastAsia"/>
                <w:bCs/>
                <w:szCs w:val="21"/>
              </w:rPr>
              <w:t>搅拌车空气滤清器滤芯、</w:t>
            </w:r>
            <w:r>
              <w:rPr>
                <w:rFonts w:hint="eastAsia" w:asciiTheme="minorEastAsia" w:hAnsiTheme="minorEastAsia" w:eastAsiaTheme="minorEastAsia" w:cstheme="minorEastAsia"/>
                <w:bCs/>
                <w:szCs w:val="21"/>
              </w:rPr>
              <w:t>机油，机油滤清器，燃油滤清器，</w:t>
            </w:r>
            <w:r>
              <w:fldChar w:fldCharType="begin"/>
            </w:r>
            <w:r>
              <w:instrText xml:space="preserve"> HYPERLINK "https://www.baidu.com/s?wd=%E7%A9%BA%E6%B0%94%E6%BB%A4%E6%B8%85%E5%99%A8&amp;tn=SE_PcZhidaonwhc_ngpagmjz&amp;rsv_dl=gh_pc_zhidao" \t "_blank" </w:instrText>
            </w:r>
            <w:r>
              <w:fldChar w:fldCharType="separate"/>
            </w:r>
            <w:r>
              <w:rPr>
                <w:rFonts w:asciiTheme="minorEastAsia" w:hAnsiTheme="minorEastAsia" w:eastAsiaTheme="minorEastAsia" w:cstheme="minorEastAsia"/>
                <w:bCs/>
                <w:szCs w:val="21"/>
              </w:rPr>
              <w:t>空气滤清器</w:t>
            </w:r>
            <w:r>
              <w:rPr>
                <w:rFonts w:asciiTheme="minorEastAsia" w:hAnsiTheme="minorEastAsia" w:eastAsiaTheme="minorEastAsia" w:cstheme="minorEastAsia"/>
                <w:bCs/>
                <w:szCs w:val="21"/>
              </w:rPr>
              <w:fldChar w:fldCharType="end"/>
            </w:r>
            <w:r>
              <w:rPr>
                <w:rFonts w:hint="eastAsia" w:asciiTheme="minorEastAsia" w:hAnsiTheme="minorEastAsia" w:eastAsiaTheme="minorEastAsia" w:cstheme="minorEastAsia"/>
                <w:bCs/>
                <w:szCs w:val="21"/>
              </w:rPr>
              <w:t>、空调滤清器、</w:t>
            </w:r>
            <w:r>
              <w:rPr>
                <w:rFonts w:ascii="Helvetica" w:hAnsi="Helvetica"/>
                <w:color w:val="333333"/>
                <w:sz w:val="20"/>
                <w:shd w:val="clear" w:color="auto" w:fill="FFFFFF"/>
              </w:rPr>
              <w:t>搅拌车防冻液（</w:t>
            </w:r>
            <w:r>
              <w:rPr>
                <w:rFonts w:hint="eastAsia" w:ascii="Helvetica" w:hAnsi="Helvetica"/>
                <w:color w:val="333333"/>
                <w:sz w:val="20"/>
                <w:shd w:val="clear" w:color="auto" w:fill="FFFFFF"/>
              </w:rPr>
              <w:t>冬季</w:t>
            </w:r>
            <w:r>
              <w:rPr>
                <w:rFonts w:ascii="Helvetica" w:hAnsi="Helvetica"/>
                <w:color w:val="333333"/>
                <w:sz w:val="20"/>
                <w:shd w:val="clear" w:color="auto" w:fill="FFFFFF"/>
              </w:rPr>
              <w:t>）</w:t>
            </w:r>
            <w:r>
              <w:rPr>
                <w:rFonts w:hint="eastAsia" w:asciiTheme="minorEastAsia" w:hAnsiTheme="minorEastAsia" w:eastAsiaTheme="minorEastAsia" w:cstheme="minorEastAsia"/>
                <w:bCs/>
                <w:szCs w:val="21"/>
              </w:rPr>
              <w:t>，保养级别，每日点检，保养日期：20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年6月1-30日。</w:t>
            </w:r>
          </w:p>
          <w:p>
            <w:pPr>
              <w:spacing w:line="360" w:lineRule="auto"/>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设备维护管理人员张显清，负责公司设备的维护修理，常驻车间，随时提供服务。</w:t>
            </w:r>
          </w:p>
          <w:p>
            <w:pPr>
              <w:spacing w:line="360" w:lineRule="auto"/>
              <w:ind w:firstLine="420" w:firstLineChars="200"/>
              <w:rPr>
                <w:rFonts w:hint="eastAsia" w:asciiTheme="minorEastAsia" w:hAnsiTheme="minorEastAsia" w:eastAsiaTheme="minorEastAsia" w:cstheme="minorEastAsia"/>
                <w:bCs/>
                <w:szCs w:val="21"/>
              </w:rPr>
            </w:pPr>
            <w:r>
              <w:rPr>
                <w:rFonts w:hint="eastAsia" w:ascii="宋体" w:hAnsi="宋体" w:eastAsia="宋体" w:cs="宋体"/>
                <w:sz w:val="21"/>
                <w:szCs w:val="21"/>
              </w:rPr>
              <w:t>查特种设备：</w:t>
            </w:r>
            <w:bookmarkStart w:id="0" w:name="_GoBack"/>
            <w:r>
              <w:rPr>
                <w:rFonts w:hint="eastAsia" w:ascii="宋体" w:hAnsi="宋体" w:eastAsia="宋体" w:cs="宋体"/>
                <w:sz w:val="21"/>
                <w:szCs w:val="21"/>
                <w:lang w:val="en-US" w:eastAsia="zh-CN"/>
              </w:rPr>
              <w:t>车间</w:t>
            </w:r>
            <w:r>
              <w:rPr>
                <w:rFonts w:hint="eastAsia" w:ascii="宋体" w:hAnsi="宋体" w:eastAsia="宋体" w:cs="宋体"/>
                <w:sz w:val="21"/>
                <w:szCs w:val="21"/>
              </w:rPr>
              <w:t>储气罐附属</w:t>
            </w:r>
            <w:r>
              <w:rPr>
                <w:rFonts w:hint="eastAsia" w:ascii="宋体" w:hAnsi="宋体" w:cs="宋体"/>
                <w:sz w:val="21"/>
                <w:szCs w:val="21"/>
                <w:lang w:val="en-US" w:eastAsia="zh-CN"/>
              </w:rPr>
              <w:t>的</w:t>
            </w:r>
            <w:r>
              <w:rPr>
                <w:rFonts w:hint="eastAsia" w:ascii="宋体" w:hAnsi="宋体" w:eastAsia="宋体" w:cs="宋体"/>
                <w:sz w:val="21"/>
                <w:szCs w:val="21"/>
              </w:rPr>
              <w:t>安全阀和压力表未能提供检</w:t>
            </w:r>
            <w:r>
              <w:rPr>
                <w:rFonts w:hint="eastAsia" w:ascii="宋体" w:hAnsi="宋体" w:cs="宋体"/>
                <w:sz w:val="21"/>
                <w:szCs w:val="21"/>
                <w:lang w:val="en-US" w:eastAsia="zh-CN"/>
              </w:rPr>
              <w:t>验</w:t>
            </w:r>
            <w:r>
              <w:rPr>
                <w:rFonts w:hint="eastAsia" w:ascii="宋体" w:hAnsi="宋体" w:eastAsia="宋体" w:cs="宋体"/>
                <w:sz w:val="21"/>
                <w:szCs w:val="21"/>
              </w:rPr>
              <w:t>报告</w:t>
            </w:r>
            <w:bookmarkEnd w:id="0"/>
            <w:r>
              <w:rPr>
                <w:rFonts w:hint="eastAsia" w:ascii="宋体" w:hAnsi="宋体" w:eastAsia="宋体" w:cs="宋体"/>
                <w:sz w:val="21"/>
                <w:szCs w:val="21"/>
              </w:rPr>
              <w:t>，开具了不符合。</w:t>
            </w:r>
          </w:p>
        </w:tc>
        <w:tc>
          <w:tcPr>
            <w:tcW w:w="851" w:type="dxa"/>
          </w:tcPr>
          <w:p/>
          <w:p/>
          <w:p/>
          <w:p/>
          <w:p/>
          <w:p/>
          <w:p/>
          <w:p/>
          <w:p/>
          <w:p/>
          <w:p/>
          <w:p/>
          <w:p/>
          <w:p/>
          <w:p/>
          <w:p/>
          <w:p/>
          <w:p/>
          <w:p/>
          <w:p/>
          <w:p/>
          <w:p/>
          <w:p/>
          <w:p/>
          <w:p/>
          <w:p/>
          <w:p/>
          <w:p/>
          <w:p/>
          <w:p/>
          <w:p/>
          <w:p/>
          <w:p/>
          <w:p/>
          <w:p/>
          <w:p/>
          <w:p/>
          <w:p/>
          <w:p/>
          <w:p/>
          <w:p/>
          <w:p/>
          <w:p/>
          <w:p/>
          <w:p/>
          <w:p/>
          <w:p/>
          <w:p/>
          <w:p/>
          <w:p/>
          <w:p/>
          <w:p/>
          <w:p/>
          <w:p/>
          <w:p/>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hint="eastAsia"/>
                <w:color w:val="auto"/>
                <w:lang w:val="en-US" w:eastAsia="zh-CN"/>
              </w:rPr>
            </w:pPr>
          </w:p>
          <w:p>
            <w:pPr>
              <w:rPr>
                <w:rFonts w:hint="eastAsia"/>
                <w:color w:val="auto"/>
                <w:lang w:val="en-US" w:eastAsia="zh-CN"/>
              </w:rPr>
            </w:pPr>
          </w:p>
          <w:p>
            <w:pPr>
              <w:rPr>
                <w:rFonts w:hint="eastAsia" w:eastAsia="宋体"/>
                <w:color w:val="FF0000"/>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960" w:type="dxa"/>
          </w:tcPr>
          <w:p>
            <w:pPr>
              <w:pStyle w:val="8"/>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8"/>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现场观察：</w:t>
            </w:r>
            <w:r>
              <w:rPr>
                <w:rFonts w:hint="eastAsia" w:asciiTheme="minorEastAsia" w:hAnsiTheme="minorEastAsia" w:eastAsiaTheme="minorEastAsia" w:cstheme="minorEastAsia"/>
                <w:color w:val="auto"/>
                <w:sz w:val="21"/>
                <w:szCs w:val="21"/>
                <w:lang w:val="en-US" w:eastAsia="zh-CN"/>
              </w:rPr>
              <w:t>厂区设置有有洒水车、喷淋、沉淀池等降尘环保设施，过程运行环境基本符合要求。</w:t>
            </w:r>
            <w:r>
              <w:rPr>
                <w:rFonts w:hint="eastAsia" w:asciiTheme="minorEastAsia" w:hAnsiTheme="minorEastAsia" w:eastAsiaTheme="minorEastAsia" w:cstheme="minorEastAsia"/>
                <w:color w:val="FF0000"/>
                <w:sz w:val="21"/>
                <w:szCs w:val="21"/>
              </w:rPr>
              <w:t xml:space="preserve"> </w:t>
            </w:r>
          </w:p>
        </w:tc>
        <w:tc>
          <w:tcPr>
            <w:tcW w:w="851" w:type="dxa"/>
          </w:tc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1、询问主管人员，如何识别，以什么形式识别。</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2、询问并核实策划的时机。</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3、询问如何确保一致。</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4、组织策划的输出形式是什么？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查策划的输出，是否考虑了以下要求：a、质量目标和要求。b、针对产品确定过程文件的资源。c、策划服务所需的验证、确认、监视的接收准则。d、规定了哪些所需的记录。e、核查策划输出文件的适宜性和齐全性，是否符合文件控制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2、询问前述策划是否适合组织的运行方式？</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3、组织针对产品和服务运行的策划是否更改及控制情况？</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i/>
                <w:iCs/>
                <w:szCs w:val="21"/>
              </w:rPr>
            </w:pPr>
            <w:r>
              <w:rPr>
                <w:rFonts w:hint="eastAsia" w:asciiTheme="minorEastAsia" w:hAnsiTheme="minorEastAsia" w:eastAsiaTheme="minorEastAsia" w:cstheme="minorEastAsia"/>
                <w:b/>
                <w:bCs/>
                <w:szCs w:val="21"/>
              </w:rPr>
              <w:t>Q8</w:t>
            </w:r>
            <w:r>
              <w:rPr>
                <w:rFonts w:hint="eastAsia" w:asciiTheme="minorEastAsia" w:hAnsiTheme="minorEastAsia" w:eastAsiaTheme="minorEastAsia" w:cstheme="minorEastAsia"/>
                <w:b/>
                <w:szCs w:val="21"/>
              </w:rPr>
              <w:t>.1</w:t>
            </w:r>
          </w:p>
          <w:p>
            <w:pPr>
              <w:pStyle w:val="8"/>
              <w:spacing w:line="360" w:lineRule="auto"/>
              <w:rPr>
                <w:rFonts w:asciiTheme="minorEastAsia" w:hAnsiTheme="minorEastAsia" w:eastAsiaTheme="minorEastAsia" w:cstheme="minorEastAsia"/>
                <w:i/>
                <w:iCs/>
                <w:color w:val="auto"/>
                <w:sz w:val="21"/>
                <w:szCs w:val="21"/>
                <w:u w:val="wave"/>
              </w:rPr>
            </w:pPr>
          </w:p>
          <w:p>
            <w:pPr>
              <w:pStyle w:val="8"/>
              <w:spacing w:line="360" w:lineRule="auto"/>
              <w:rPr>
                <w:rFonts w:asciiTheme="minorEastAsia" w:hAnsiTheme="minorEastAsia" w:eastAsiaTheme="minorEastAsia" w:cstheme="minorEastAsia"/>
                <w:i/>
                <w:iCs/>
                <w:color w:val="auto"/>
                <w:sz w:val="21"/>
                <w:szCs w:val="21"/>
                <w:u w:val="wave"/>
              </w:rPr>
            </w:pPr>
          </w:p>
          <w:p>
            <w:pPr>
              <w:pStyle w:val="8"/>
              <w:spacing w:line="360" w:lineRule="auto"/>
              <w:ind w:firstLine="0" w:firstLineChars="0"/>
              <w:rPr>
                <w:rFonts w:asciiTheme="minorEastAsia" w:hAnsiTheme="minorEastAsia" w:eastAsiaTheme="minorEastAsia" w:cstheme="minorEastAsia"/>
                <w:bCs/>
                <w:i/>
                <w:iCs/>
                <w:color w:val="auto"/>
                <w:sz w:val="21"/>
                <w:szCs w:val="21"/>
              </w:rPr>
            </w:pPr>
          </w:p>
          <w:p>
            <w:pPr>
              <w:pStyle w:val="8"/>
              <w:spacing w:line="360" w:lineRule="auto"/>
              <w:ind w:firstLine="0" w:firstLineChars="0"/>
              <w:rPr>
                <w:rFonts w:asciiTheme="minorEastAsia" w:hAnsiTheme="minorEastAsia" w:eastAsiaTheme="minorEastAsia" w:cstheme="minorEastAsia"/>
                <w:bCs/>
                <w:i/>
                <w:iCs/>
                <w:color w:val="auto"/>
                <w:sz w:val="21"/>
                <w:szCs w:val="21"/>
              </w:rPr>
            </w:pPr>
          </w:p>
          <w:p>
            <w:pPr>
              <w:spacing w:line="360" w:lineRule="auto"/>
              <w:rPr>
                <w:rFonts w:asciiTheme="minorEastAsia" w:hAnsiTheme="minorEastAsia" w:eastAsiaTheme="minorEastAsia" w:cstheme="minorEastAsia"/>
                <w:szCs w:val="21"/>
              </w:rPr>
            </w:pPr>
          </w:p>
        </w:tc>
        <w:tc>
          <w:tcPr>
            <w:tcW w:w="10738" w:type="dxa"/>
          </w:tcPr>
          <w:p>
            <w:pPr>
              <w:pStyle w:val="8"/>
              <w:numPr>
                <w:ilvl w:val="0"/>
                <w:numId w:val="1"/>
              </w:numPr>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范围：</w:t>
            </w:r>
          </w:p>
          <w:p>
            <w:pPr>
              <w:rPr>
                <w:rFonts w:ascii="宋体"/>
                <w:b/>
              </w:rPr>
            </w:pPr>
            <w:r>
              <w:rPr>
                <w:rFonts w:ascii="宋体" w:hAnsi="宋体"/>
                <w:b/>
                <w:szCs w:val="21"/>
              </w:rPr>
              <w:t>QMS</w:t>
            </w:r>
            <w:r>
              <w:rPr>
                <w:rFonts w:hint="eastAsia" w:ascii="宋体" w:hAnsi="宋体"/>
                <w:b/>
                <w:szCs w:val="21"/>
              </w:rPr>
              <w:t>:</w:t>
            </w:r>
            <w:r>
              <w:rPr>
                <w:rFonts w:ascii="宋体" w:hAnsi="宋体"/>
                <w:szCs w:val="21"/>
              </w:rPr>
              <w:t xml:space="preserve"> </w:t>
            </w:r>
            <w:r>
              <w:rPr>
                <w:sz w:val="20"/>
              </w:rPr>
              <w:t>混凝土的生产及销售</w:t>
            </w:r>
          </w:p>
          <w:p>
            <w:pPr>
              <w:rPr>
                <w:rFonts w:ascii="宋体" w:hAnsi="宋体"/>
                <w:szCs w:val="21"/>
              </w:rPr>
            </w:pPr>
            <w:r>
              <w:rPr>
                <w:rFonts w:ascii="宋体" w:hAnsi="宋体"/>
                <w:b/>
                <w:szCs w:val="21"/>
              </w:rPr>
              <w:t>EMS:</w:t>
            </w:r>
            <w:r>
              <w:t xml:space="preserve"> </w:t>
            </w:r>
            <w:r>
              <w:rPr>
                <w:sz w:val="20"/>
              </w:rPr>
              <w:t>混凝土的生产及销售所涉及的相关环境管理活动</w:t>
            </w:r>
          </w:p>
          <w:p>
            <w:pPr>
              <w:rPr>
                <w:rFonts w:ascii="宋体" w:hAnsi="宋体"/>
                <w:szCs w:val="21"/>
              </w:rPr>
            </w:pPr>
            <w:r>
              <w:rPr>
                <w:rFonts w:ascii="宋体" w:hAnsi="宋体"/>
                <w:b/>
                <w:szCs w:val="21"/>
              </w:rPr>
              <w:t>OHSMS:</w:t>
            </w:r>
            <w:r>
              <w:rPr>
                <w:rFonts w:ascii="宋体" w:hAnsi="宋体"/>
                <w:szCs w:val="21"/>
              </w:rPr>
              <w:t xml:space="preserve"> </w:t>
            </w:r>
            <w:r>
              <w:rPr>
                <w:sz w:val="20"/>
              </w:rPr>
              <w:t>混凝土的生产及销售所涉及的相</w:t>
            </w:r>
            <w:r>
              <w:rPr>
                <w:rFonts w:hint="eastAsia"/>
                <w:sz w:val="20"/>
                <w:lang w:val="en-US" w:eastAsia="zh-CN"/>
              </w:rPr>
              <w:t>关职业健康安全</w:t>
            </w:r>
            <w:r>
              <w:rPr>
                <w:sz w:val="20"/>
              </w:rPr>
              <w:t>管理活动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2、公司目标：</w:t>
            </w:r>
          </w:p>
          <w:p>
            <w:pPr>
              <w:numPr>
                <w:ilvl w:val="0"/>
                <w:numId w:val="2"/>
              </w:numPr>
              <w:spacing w:line="360" w:lineRule="auto"/>
              <w:rPr>
                <w:rFonts w:asciiTheme="minorEastAsia" w:hAnsiTheme="minorEastAsia" w:eastAsiaTheme="minorEastAsia" w:cstheme="minorEastAsia"/>
                <w:szCs w:val="21"/>
              </w:rPr>
            </w:pPr>
            <w:r>
              <w:drawing>
                <wp:inline distT="0" distB="0" distL="114300" distR="114300">
                  <wp:extent cx="3429000" cy="20320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3429000" cy="2032000"/>
                          </a:xfrm>
                          <a:prstGeom prst="rect">
                            <a:avLst/>
                          </a:prstGeom>
                          <a:noFill/>
                          <a:ln>
                            <a:noFill/>
                          </a:ln>
                        </pic:spPr>
                      </pic:pic>
                    </a:graphicData>
                  </a:graphic>
                </wp:inline>
              </w:drawing>
            </w:r>
          </w:p>
          <w:p>
            <w:pPr>
              <w:numPr>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产品主要执行标准摘抄：</w:t>
            </w:r>
          </w:p>
          <w:p>
            <w:pPr>
              <w:pStyle w:val="18"/>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主席令第6号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中华人民共和国消防法</w:t>
            </w:r>
          </w:p>
          <w:p>
            <w:pPr>
              <w:pStyle w:val="18"/>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主席令第22号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中华人民共和国环境保护法</w:t>
            </w:r>
          </w:p>
          <w:p>
            <w:pPr>
              <w:pStyle w:val="18"/>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主席令第70号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中华人民共和国安全生产法</w:t>
            </w:r>
          </w:p>
          <w:p>
            <w:pPr>
              <w:pStyle w:val="7"/>
              <w:keepNext w:val="0"/>
              <w:keepLines w:val="0"/>
              <w:widowControl/>
              <w:suppressLineNumbers w:val="0"/>
              <w:rPr>
                <w:rFonts w:hint="eastAsia" w:ascii="宋体" w:hAnsi="宋体"/>
                <w:b w:val="0"/>
                <w:bCs w:val="0"/>
                <w:sz w:val="21"/>
                <w:szCs w:val="21"/>
                <w:lang w:val="en-US" w:eastAsia="zh-CN"/>
              </w:rPr>
            </w:pPr>
            <w:r>
              <w:rPr>
                <w:rFonts w:hint="eastAsia" w:ascii="宋体" w:hAnsi="宋体"/>
                <w:b w:val="0"/>
                <w:bCs w:val="0"/>
                <w:sz w:val="21"/>
                <w:szCs w:val="21"/>
                <w:lang w:val="en-US" w:eastAsia="zh-CN"/>
              </w:rPr>
              <w:t>GB23439-2017(混凝土的生产及销售)、</w:t>
            </w:r>
          </w:p>
          <w:p>
            <w:pPr>
              <w:pStyle w:val="7"/>
              <w:keepNext w:val="0"/>
              <w:keepLines w:val="0"/>
              <w:widowControl/>
              <w:suppressLineNumbers w:val="0"/>
              <w:rPr>
                <w:rFonts w:hint="eastAsia"/>
                <w:color w:val="auto"/>
                <w:sz w:val="21"/>
                <w:szCs w:val="21"/>
                <w:shd w:val="clear" w:color="auto" w:fill="FAFAFA"/>
                <w:lang w:eastAsia="zh-CN"/>
              </w:rPr>
            </w:pP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p>
          <w:p>
            <w:pPr>
              <w:pStyle w:val="7"/>
              <w:keepNext w:val="0"/>
              <w:keepLines w:val="0"/>
              <w:widowControl/>
              <w:suppressLineNumbers w:val="0"/>
              <w:rPr>
                <w:color w:val="auto"/>
                <w:sz w:val="21"/>
                <w:szCs w:val="21"/>
              </w:rPr>
            </w:pPr>
            <w:r>
              <w:rPr>
                <w:color w:val="auto"/>
                <w:sz w:val="21"/>
                <w:szCs w:val="21"/>
                <w:shd w:val="clear" w:color="auto" w:fill="FAFAFA"/>
              </w:rPr>
              <w:t>GB/T 50107—2010 混凝土强度检验评定标准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普通混凝土配合比设计规程JGJ55-2011</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普通混凝土拌和物性能试验方法标准GB/T50080</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普通混凝土力学性能试验方法标准GB/T50081-2002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普通混凝土长期性能和耐久性能试验方法标准GB/T50082</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Cs/>
                <w:szCs w:val="21"/>
              </w:rPr>
              <w:t>销售流程：顾客沟通—合同评审—合同/订单签订—产品采购—产品验证—交付—售后服务</w:t>
            </w:r>
          </w:p>
          <w:p>
            <w:pPr>
              <w:spacing w:line="360" w:lineRule="auto"/>
              <w:rPr>
                <w:rFonts w:asciiTheme="minorEastAsia" w:hAnsiTheme="minorEastAsia" w:eastAsiaTheme="minorEastAsia" w:cstheme="minorEastAsia"/>
                <w:szCs w:val="21"/>
              </w:rPr>
            </w:pPr>
            <w:r>
              <w:rPr>
                <w:rFonts w:hint="eastAsia" w:ascii="宋体" w:hAnsi="宋体"/>
                <w:color w:val="000000"/>
                <w:sz w:val="20"/>
              </w:rPr>
              <w:t>5、</w:t>
            </w:r>
            <w:r>
              <w:rPr>
                <w:rFonts w:hint="eastAsia" w:asciiTheme="minorEastAsia" w:hAnsiTheme="minorEastAsia" w:eastAsiaTheme="minorEastAsia" w:cstheme="minorEastAsia"/>
                <w:szCs w:val="21"/>
              </w:rPr>
              <w:t>产品生产工艺</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服务提供流程为：购货（需方）单位提出委托和混凝土质量技术要求→双方签订供需合同并明确双方责任→下达生产任务→混凝土配合比、依据配合比备料、进行原材料检验→测砂石含水率、调整砂石和用水量、调整好的配合比输入微机→按配合比要求计量（称重）</w:t>
            </w:r>
            <w:r>
              <w:rPr>
                <w:rFonts w:hint="eastAsia"/>
              </w:rPr>
              <w:t>△</w:t>
            </w:r>
            <w:r>
              <w:rPr>
                <w:rFonts w:hint="eastAsia" w:asciiTheme="minorEastAsia" w:hAnsiTheme="minorEastAsia" w:eastAsiaTheme="minorEastAsia" w:cstheme="minorEastAsia"/>
                <w:szCs w:val="21"/>
              </w:rPr>
              <w:t>→搅拌（定时控制）</w:t>
            </w:r>
            <w:r>
              <w:rPr>
                <w:rFonts w:hint="eastAsia"/>
              </w:rPr>
              <w:t>△</w:t>
            </w:r>
            <w:r>
              <w:rPr>
                <w:rFonts w:hint="eastAsia" w:asciiTheme="minorEastAsia" w:hAnsiTheme="minorEastAsia" w:eastAsiaTheme="minorEastAsia" w:cstheme="minorEastAsia"/>
                <w:szCs w:val="21"/>
              </w:rPr>
              <w:t>→出料（测塌落度、制作试块）→装入罐车→运输（至需方指定地点）→浇筑</w:t>
            </w:r>
          </w:p>
          <w:p>
            <w:pPr>
              <w:spacing w:line="360" w:lineRule="auto"/>
              <w:ind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关键过程已经进行识别，详见8.5.1条款。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为实现产品质量目标配置了相应人员（如商品混凝土的生产、销售的生产和销售服务人员：技术人员均为大专或以上学历、试验室人员持有操作作业证书、上岗前经过岗前培训，销售人员及生产人员均经过专业培训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bCs/>
                <w:szCs w:val="21"/>
              </w:rPr>
              <w:t>生产设备：见7.1.3记录条款。</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监测资源：提供检定合格证书（见附件）。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办公设备：电脑、打印机、传真机、电话等。提供维修保养计划及记录，满足要求。</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环保设施包括：垃圾桶、消防设施</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沉淀池</w:t>
            </w:r>
            <w:r>
              <w:rPr>
                <w:rFonts w:hint="eastAsia" w:asciiTheme="minorEastAsia" w:hAnsiTheme="minorEastAsia" w:eastAsiaTheme="minorEastAsia" w:cstheme="minorEastAsia"/>
                <w:bCs/>
                <w:szCs w:val="21"/>
              </w:rPr>
              <w:t>；</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安全设施配置主要有：标识牌、灭火器、消防器材等，生产部定期维护与保养。</w:t>
            </w:r>
          </w:p>
          <w:p>
            <w:pPr>
              <w:pStyle w:val="20"/>
              <w:numPr>
                <w:ilvl w:val="0"/>
                <w:numId w:val="3"/>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编制了相应的作业文件：</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物料配比（称重）和搅拌（定时控制） 作业指导书</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搅拌楼操作安全规程 </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DGQC01水泥检验规程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DG/QCO27建筑用砂检验规程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DGQC03建筑用卵石、碎石检验规程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DG/QC04砼外加剂试验方法</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DGQC05砼外加剂匀质性试验方法</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DGQC06用于水泥和混凝土中的粉煤灰</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DGQ07粒化高炉矿渣粉性指数及流动比的测定</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DGQC08混凝士配合比设计实验规程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DGOC09混凝土坍落度的测定</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DGQC010混凝土表观密度实验</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DGQC01普通砼力学性能实验</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DGQC012混凝土及原材料抽样方法</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DGOC013普通混凝土长期性能和耐久性实验方法标准</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DGQC014计量仪器设备自校规程</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9.接收准则:依据验收交付规范、合同、相关标准、用户要求等进行接收，以保证交付的产品满足要求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10、记录：策划有委托设计合同、内部审核检查表、首末次会议记录、特殊过程确认记录、生产过程记录、检验记录等，基本满足产品实现需要。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目前策划基本充分。</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pacing w:val="-10"/>
                <w:sz w:val="21"/>
                <w:szCs w:val="21"/>
              </w:rPr>
              <w:t>产品和服务的设计和开发</w:t>
            </w:r>
          </w:p>
        </w:tc>
        <w:tc>
          <w:tcPr>
            <w:tcW w:w="960" w:type="dxa"/>
            <w:vAlign w:val="top"/>
          </w:tcPr>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Q8.3</w:t>
            </w:r>
          </w:p>
        </w:tc>
        <w:tc>
          <w:tcPr>
            <w:tcW w:w="10738" w:type="dxa"/>
            <w:vAlign w:val="top"/>
          </w:tcPr>
          <w:p>
            <w:pPr>
              <w:tabs>
                <w:tab w:val="left" w:pos="9720"/>
                <w:tab w:val="left" w:pos="99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组织按照国标/行标和顾客要求进行混凝土的生产，不需进行产品的设计和开发，因此对标准的8.3条款不适用，且不影响组织提供满足顾客要求和适用法律法规要求的产品的能力或责任，不适用合理。</w:t>
            </w:r>
          </w:p>
        </w:tc>
        <w:tc>
          <w:tcPr>
            <w:tcW w:w="851" w:type="dxa"/>
            <w:vAlign w:val="top"/>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服务提供的控制，所涉及的产品范围？资质和相关要求？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抽查某些过程，判断组织是否经过策划，确保上述每一种产品的控制过程处于受控状态？</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(1)该过程是否能获得表述产品特性的息如质量计划、生产计划、产品合同、图纸等？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(2)该过程是否获得相应的作业指导文件，抽查文件内容是否充分、正确？如规范、工艺文件等。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（3）监视和测量资源的适宜情况？精度及检定情况？</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实施监视和测量的活动是否适宜，是否满足准则的要求？</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（4）基础设施和运行质量的适宜情况？</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人员配备是否适宜，是否满足资格要求？</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（5）对生产和服务策划能力的确认和定期确认情况？</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是否采取措施防止人为错误？</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（6）查特殊过程的控制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（7）实施放行、交付和交付后活动？</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8.5.1</w:t>
            </w:r>
          </w:p>
        </w:tc>
        <w:tc>
          <w:tcPr>
            <w:tcW w:w="10738" w:type="dxa"/>
          </w:tcPr>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生产部负责人：</w:t>
            </w:r>
            <w:r>
              <w:rPr>
                <w:rFonts w:hint="eastAsia" w:asciiTheme="minorEastAsia" w:hAnsiTheme="minorEastAsia" w:eastAsiaTheme="minorEastAsia" w:cstheme="minorEastAsia"/>
                <w:szCs w:val="21"/>
                <w:lang w:val="en-US" w:eastAsia="zh-CN"/>
              </w:rPr>
              <w:t>张正兵</w:t>
            </w:r>
            <w:r>
              <w:rPr>
                <w:rFonts w:hint="eastAsia" w:asciiTheme="minorEastAsia" w:hAnsiTheme="minorEastAsia" w:eastAsiaTheme="minorEastAsia" w:cstheme="minorEastAsia"/>
                <w:szCs w:val="21"/>
              </w:rPr>
              <w:t>。公司质量手册规定：生产部是生产和服务过程控制的归口管理部门，负责生产和服务过程控制监督和指导，作业指导书的提供，并负责生产所需的设备资源；负责过程设备和工作环境、生产安全、标识和可追溯性、产品防护以及交付后活动的管理和控制</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（1）查20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月生产任务计划单表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在调度黑板上体现</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，包括：数量、日期等。销售任务单等，</w:t>
            </w:r>
            <w:r>
              <w:rPr>
                <w:rFonts w:hint="eastAsia" w:asciiTheme="minorEastAsia" w:hAnsiTheme="minorEastAsia" w:eastAsiaTheme="minorEastAsia" w:cstheme="minorEastAsia"/>
                <w:szCs w:val="21"/>
                <w:lang w:val="en-US" w:eastAsia="zh-CN"/>
              </w:rPr>
              <w:t>调度员电话通知操作人员</w:t>
            </w:r>
            <w:r>
              <w:rPr>
                <w:rFonts w:hint="eastAsia" w:asciiTheme="minorEastAsia" w:hAnsiTheme="minorEastAsia" w:eastAsiaTheme="minorEastAsia" w:cstheme="minorEastAsia"/>
                <w:szCs w:val="21"/>
              </w:rPr>
              <w:t xml:space="preserve">。同时查到了下发的物料配比（称重）、生产作业指导书和质量检验指导书。如下所示：  </w:t>
            </w:r>
          </w:p>
          <w:p>
            <w:pPr>
              <w:pStyle w:val="7"/>
              <w:keepNext w:val="0"/>
              <w:keepLines w:val="0"/>
              <w:widowControl/>
              <w:suppressLineNumbers w:val="0"/>
              <w:ind w:firstLine="420" w:firstLineChars="200"/>
              <w:rPr>
                <w:rFonts w:hint="eastAsia" w:ascii="宋体" w:hAnsi="宋体"/>
                <w:b w:val="0"/>
                <w:bCs w:val="0"/>
                <w:sz w:val="21"/>
                <w:szCs w:val="21"/>
                <w:lang w:val="en-US" w:eastAsia="zh-CN"/>
              </w:rPr>
            </w:pPr>
            <w:r>
              <w:rPr>
                <w:rFonts w:hint="eastAsia" w:ascii="宋体" w:hAnsi="宋体"/>
                <w:b w:val="0"/>
                <w:bCs w:val="0"/>
                <w:sz w:val="21"/>
                <w:szCs w:val="21"/>
                <w:lang w:val="en-US" w:eastAsia="zh-CN"/>
              </w:rPr>
              <w:t>GB23439-2017(混凝土的生产及销售)、</w:t>
            </w:r>
          </w:p>
          <w:p>
            <w:pPr>
              <w:pStyle w:val="7"/>
              <w:keepNext w:val="0"/>
              <w:keepLines w:val="0"/>
              <w:widowControl/>
              <w:suppressLineNumbers w:val="0"/>
              <w:ind w:firstLine="420" w:firstLineChars="200"/>
              <w:rPr>
                <w:rFonts w:hint="eastAsia"/>
                <w:color w:val="auto"/>
                <w:sz w:val="21"/>
                <w:szCs w:val="21"/>
                <w:shd w:val="clear" w:color="auto" w:fill="FAFAFA"/>
                <w:lang w:eastAsia="zh-CN"/>
              </w:rPr>
            </w:pP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p>
          <w:p>
            <w:pPr>
              <w:pStyle w:val="7"/>
              <w:keepNext w:val="0"/>
              <w:keepLines w:val="0"/>
              <w:widowControl/>
              <w:suppressLineNumbers w:val="0"/>
              <w:ind w:firstLine="420" w:firstLineChars="200"/>
              <w:rPr>
                <w:color w:val="auto"/>
                <w:sz w:val="21"/>
                <w:szCs w:val="21"/>
              </w:rPr>
            </w:pPr>
            <w:r>
              <w:rPr>
                <w:color w:val="auto"/>
                <w:sz w:val="21"/>
                <w:szCs w:val="21"/>
                <w:shd w:val="clear" w:color="auto" w:fill="FAFAFA"/>
              </w:rPr>
              <w:t>GB/T 50107—2010 混凝土强度检验评定标准</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普通混凝土配合比设计规程JGJ55-2011</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普通混凝土拌和物性能试验方法标准GB/T50080</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普通混凝土力学性能试验方法标准GB/T50081-2002 </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普通混凝土长期性能和耐久性能试验方法标准GB/T50082</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DGQC03建筑用卵石、碎石检验规程</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DG/QC04砼外加剂试验方法</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DGQC05砼外加剂匀质性试验方法</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DGQC06用于水泥和混凝土中的粉煤灰</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DGQ07粒化高炉矿渣粉性指数及流动比的测定</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DGQC08混凝士配合比设计实验规程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DGOC09混凝土坍落度的测定</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DGQC010混凝土表观密度实验</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DGQC01普通砼力学性能实验</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DGQC012混凝土及原材料抽样方法</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DGOC013普通混凝土长期性能和耐久性实验方法标准</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生产操作作业规程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洗机操作作业规程</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混凝土搅拌系统配料、称量作业规程（包括配料参数设定、配料秤标定）</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 软件调用、维护</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搅拌主机操作规程（维护、保养）</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外加剂泵操作规程</w:t>
            </w:r>
          </w:p>
          <w:p>
            <w:pPr>
              <w:numPr>
                <w:ilvl w:val="3"/>
                <w:numId w:val="0"/>
              </w:numPr>
              <w:spacing w:line="360" w:lineRule="auto"/>
              <w:ind w:left="420"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污水处理系统维护</w:t>
            </w:r>
          </w:p>
          <w:p>
            <w:pPr>
              <w:numPr>
                <w:ilvl w:val="3"/>
                <w:numId w:val="0"/>
              </w:numPr>
              <w:spacing w:line="360" w:lineRule="auto"/>
              <w:ind w:left="420" w:left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inline distT="0" distB="0" distL="114300" distR="114300">
                  <wp:extent cx="6369685" cy="4777740"/>
                  <wp:effectExtent l="0" t="0" r="5715" b="10160"/>
                  <wp:docPr id="4" name="图片 4" descr="e60c23b75a21fbd5fee650e5db9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60c23b75a21fbd5fee650e5db94997"/>
                          <pic:cNvPicPr>
                            <a:picLocks noChangeAspect="1"/>
                          </pic:cNvPicPr>
                        </pic:nvPicPr>
                        <pic:blipFill>
                          <a:blip r:embed="rId9"/>
                          <a:stretch>
                            <a:fillRect/>
                          </a:stretch>
                        </pic:blipFill>
                        <pic:spPr>
                          <a:xfrm>
                            <a:off x="0" y="0"/>
                            <a:ext cx="6369685" cy="4777740"/>
                          </a:xfrm>
                          <a:prstGeom prst="rect">
                            <a:avLst/>
                          </a:prstGeom>
                        </pic:spPr>
                      </pic:pic>
                    </a:graphicData>
                  </a:graphic>
                </wp:inline>
              </w:drawing>
            </w:r>
          </w:p>
          <w:p>
            <w:pPr>
              <w:numPr>
                <w:ilvl w:val="0"/>
                <w:numId w:val="4"/>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车间现场观察：</w:t>
            </w:r>
          </w:p>
          <w:p>
            <w:pPr>
              <w:spacing w:line="360" w:lineRule="auto"/>
              <w:ind w:firstLine="315" w:firstLineChars="150"/>
              <w:rPr>
                <w:rFonts w:asciiTheme="minorEastAsia" w:hAnsiTheme="minorEastAsia" w:eastAsiaTheme="minorEastAsia" w:cstheme="minorEastAsia"/>
                <w:szCs w:val="21"/>
              </w:rPr>
            </w:pPr>
            <w:r>
              <w:rPr>
                <w:rFonts w:hint="eastAsia" w:ascii="宋体" w:hAnsi="宋体" w:eastAsia="宋体" w:cs="宋体"/>
                <w:bCs/>
                <w:sz w:val="21"/>
                <w:szCs w:val="21"/>
                <w:highlight w:val="none"/>
              </w:rPr>
              <w:t>关键过程：按配合比要求计量（称重）和搅拌（定时控制）两个，原材料配方比按实验室确定并在系统中输入；搅拌时间以标号C15按30秒为准，标号越高搅拌时间稍长，以不超出40秒为规定；</w:t>
            </w:r>
            <w:r>
              <w:rPr>
                <w:rFonts w:hint="eastAsia" w:asciiTheme="minorEastAsia" w:hAnsiTheme="minorEastAsia" w:eastAsiaTheme="minorEastAsia" w:cstheme="minorEastAsia"/>
                <w:szCs w:val="21"/>
              </w:rPr>
              <w:t>分别与</w:t>
            </w: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bCs/>
                <w:sz w:val="21"/>
                <w:szCs w:val="21"/>
              </w:rPr>
              <w:t>·</w:t>
            </w:r>
            <w:r>
              <w:rPr>
                <w:rFonts w:hint="default" w:ascii="Tahoma" w:hAnsi="Tahoma" w:eastAsia="Tahoma" w:cs="Tahoma"/>
                <w:i w:val="0"/>
                <w:color w:val="000000"/>
                <w:kern w:val="0"/>
                <w:sz w:val="21"/>
                <w:szCs w:val="21"/>
                <w:u w:val="none"/>
                <w:lang w:val="en-US" w:eastAsia="zh-CN" w:bidi="ar"/>
              </w:rPr>
              <w:t>HZS-270</w:t>
            </w:r>
            <w:r>
              <w:rPr>
                <w:rFonts w:hint="eastAsia" w:asciiTheme="minorEastAsia" w:hAnsiTheme="minorEastAsia" w:eastAsiaTheme="minorEastAsia" w:cstheme="minorEastAsia"/>
                <w:szCs w:val="21"/>
              </w:rPr>
              <w:t>操作者</w:t>
            </w:r>
            <w:r>
              <w:rPr>
                <w:rFonts w:hint="eastAsia" w:asciiTheme="minorEastAsia" w:hAnsiTheme="minorEastAsia" w:eastAsiaTheme="minorEastAsia" w:cstheme="minorEastAsia"/>
                <w:szCs w:val="21"/>
                <w:lang w:val="en-US" w:eastAsia="zh-CN"/>
              </w:rPr>
              <w:t>黎伯雪、黄金燕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Cs/>
                <w:szCs w:val="21"/>
              </w:rPr>
              <w:t>砂石分离机（污水处理）</w:t>
            </w:r>
            <w:r>
              <w:rPr>
                <w:rFonts w:hint="eastAsia" w:asciiTheme="minorEastAsia" w:hAnsiTheme="minorEastAsia" w:eastAsiaTheme="minorEastAsia" w:cstheme="minorEastAsia"/>
                <w:szCs w:val="21"/>
              </w:rPr>
              <w:t>操作者</w:t>
            </w:r>
            <w:r>
              <w:rPr>
                <w:rFonts w:hint="eastAsia" w:asciiTheme="minorEastAsia" w:hAnsiTheme="minorEastAsia" w:eastAsiaTheme="minorEastAsia" w:cstheme="minorEastAsia"/>
                <w:szCs w:val="21"/>
                <w:lang w:val="en-US" w:eastAsia="zh-CN"/>
              </w:rPr>
              <w:t>徐金成</w:t>
            </w:r>
            <w:r>
              <w:rPr>
                <w:rFonts w:hint="eastAsia" w:asciiTheme="minorEastAsia" w:hAnsiTheme="minorEastAsia" w:eastAsiaTheme="minorEastAsia" w:cstheme="minorEastAsia"/>
                <w:szCs w:val="21"/>
              </w:rPr>
              <w:t>交谈，操作工熟悉操作流程，操作手法娴熟，同时现场提供了作业指导书等；符合要求。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市场调研、确定顾客的需求、确定产品的规格、性能、数量、送交采购、采购、根据销售部送交的产品信息和采购流程选择和评价供应商、确定供应商、将采购信息传达给供方、供应供货、对采购产品进行验证、验证合格后入库；库房：保管将合格产品进行登记入帐、进行必要的防护；销售：与客户进行沟通、将库房内的产品交付顾客、并提产品质量证明材料及其它售后服务条款、经顾客对产品进行确认、完成一次销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生产过程和最终检验规程，规定了检验项目、检验要求、质量记录等要求。 以上文件均为有效受控文件，并按其实施组织生产过程控制。</w:t>
            </w:r>
          </w:p>
          <w:p>
            <w:pPr>
              <w:numPr>
                <w:ilvl w:val="0"/>
                <w:numId w:val="4"/>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公司制定有：基础设施和工作环境控制程序规定了设备管理要求、设备的保养、设备的检修等内容。主要设备日常生产中能够保证质量和效率，配备的设备是适宜的。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“监视和测量设备台账”，包括</w:t>
            </w:r>
            <w:r>
              <w:rPr>
                <w:rFonts w:hint="eastAsia" w:asciiTheme="minorEastAsia" w:hAnsiTheme="minorEastAsia" w:eastAsiaTheme="minorEastAsia" w:cstheme="minorEastAsia"/>
                <w:bCs/>
                <w:szCs w:val="21"/>
              </w:rPr>
              <w:t>见电热鼓风恒温干燥箱、标准恒温恒湿养护箱</w:t>
            </w:r>
            <w:r>
              <w:rPr>
                <w:rFonts w:asciiTheme="minorEastAsia" w:hAnsiTheme="minorEastAsia" w:eastAsiaTheme="minorEastAsia" w:cstheme="minorEastAsia"/>
                <w:bCs/>
                <w:szCs w:val="21"/>
              </w:rPr>
              <w:t>YH-40</w:t>
            </w:r>
            <w:r>
              <w:rPr>
                <w:rFonts w:hint="eastAsia" w:asciiTheme="minorEastAsia" w:hAnsiTheme="minorEastAsia" w:eastAsiaTheme="minorEastAsia" w:cstheme="minorEastAsia"/>
                <w:bCs/>
                <w:szCs w:val="21"/>
              </w:rPr>
              <w:t>B</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 xml:space="preserve">全自动养护室标准控制仪、水泥净浆搅拌机、水泥胶砂流动度测定仪、水泥胶砂振实台 </w:t>
            </w:r>
            <w:r>
              <w:rPr>
                <w:rFonts w:asciiTheme="minorEastAsia" w:hAnsiTheme="minorEastAsia" w:eastAsiaTheme="minorEastAsia" w:cstheme="minorEastAsia"/>
                <w:bCs/>
                <w:szCs w:val="21"/>
              </w:rPr>
              <w:t>2S-15、</w:t>
            </w:r>
            <w:r>
              <w:rPr>
                <w:rFonts w:hint="eastAsia" w:asciiTheme="minorEastAsia" w:hAnsiTheme="minorEastAsia" w:eastAsiaTheme="minorEastAsia" w:cstheme="minorEastAsia"/>
                <w:bCs/>
                <w:szCs w:val="21"/>
              </w:rPr>
              <w:t>水泥胶砂搅拌机、水泥细度值压筛析仪</w:t>
            </w:r>
            <w:r>
              <w:rPr>
                <w:rFonts w:asciiTheme="minorEastAsia" w:hAnsiTheme="minorEastAsia" w:eastAsiaTheme="minorEastAsia" w:cstheme="minorEastAsia"/>
                <w:bCs/>
                <w:szCs w:val="21"/>
              </w:rPr>
              <w:t>FYS- 150</w:t>
            </w:r>
            <w:r>
              <w:rPr>
                <w:rFonts w:hint="eastAsia" w:asciiTheme="minorEastAsia" w:hAnsiTheme="minorEastAsia" w:eastAsiaTheme="minorEastAsia" w:cstheme="minorEastAsia"/>
                <w:bCs/>
                <w:szCs w:val="21"/>
              </w:rPr>
              <w:t>、震击式标准振筛机、数显压力试验机J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0、电动抗折试验机</w:t>
            </w:r>
            <w:r>
              <w:rPr>
                <w:rFonts w:asciiTheme="minorEastAsia" w:hAnsiTheme="minorEastAsia" w:eastAsiaTheme="minorEastAsia" w:cstheme="minorEastAsia"/>
                <w:bCs/>
                <w:szCs w:val="21"/>
              </w:rPr>
              <w:t>KZJ-500、</w:t>
            </w:r>
            <w:r>
              <w:rPr>
                <w:rFonts w:hint="eastAsia" w:asciiTheme="minorEastAsia" w:hAnsiTheme="minorEastAsia" w:eastAsiaTheme="minorEastAsia" w:cstheme="minorEastAsia"/>
                <w:bCs/>
                <w:szCs w:val="21"/>
              </w:rPr>
              <w:t>水泥快速养护箱、全自动恒应力压力试验机、混凝土贯入阻力仪、沸煮箱、石子压碎指标测定仪、单轴强制式混凝土搅拌机、混凝土振动台、电子计重称等</w:t>
            </w:r>
            <w:r>
              <w:rPr>
                <w:rFonts w:hint="eastAsia" w:asciiTheme="minorEastAsia" w:hAnsiTheme="minorEastAsia" w:eastAsiaTheme="minorEastAsia" w:cstheme="minorEastAsia"/>
                <w:szCs w:val="21"/>
              </w:rPr>
              <w:t>检测设备/量具。根据重要程度和检测频次，每年周检一次，精度等附合要求，基本适宜。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（5）见证：设备维修记录，对混凝土搅拌系统、砂石分离机（污水处理）、配料机、皮带输送机、汽车泵 、搅拌车 等按计划进行了维护，保养内容、保养记录等内容齐全。</w:t>
            </w:r>
          </w:p>
          <w:p>
            <w:pPr>
              <w:pStyle w:val="3"/>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机械类的重点做好特殊过程管控、仪器仪表类的关键过程为调试重点做好流量、位置等的调试指标；销售重点做好业务洽谈（谈话的方式方法内容等）。 </w:t>
            </w:r>
          </w:p>
          <w:p>
            <w:pPr>
              <w:spacing w:line="360" w:lineRule="auto"/>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szCs w:val="21"/>
              </w:rPr>
              <w:t>（6）公司</w:t>
            </w:r>
            <w:r>
              <w:rPr>
                <w:rFonts w:hint="eastAsia" w:asciiTheme="minorEastAsia" w:hAnsiTheme="minorEastAsia" w:eastAsiaTheme="minorEastAsia" w:cstheme="minorEastAsia"/>
                <w:szCs w:val="21"/>
                <w:lang w:val="en-US" w:eastAsia="zh-CN"/>
              </w:rPr>
              <w:t>管理</w:t>
            </w:r>
            <w:r>
              <w:rPr>
                <w:rFonts w:hint="eastAsia" w:asciiTheme="minorEastAsia" w:hAnsiTheme="minorEastAsia" w:eastAsiaTheme="minorEastAsia" w:cstheme="minorEastAsia"/>
                <w:szCs w:val="21"/>
              </w:rPr>
              <w:t>手册规定：</w:t>
            </w:r>
            <w:r>
              <w:rPr>
                <w:rFonts w:hint="eastAsia" w:asciiTheme="minorEastAsia" w:hAnsiTheme="minorEastAsia" w:eastAsiaTheme="minorEastAsia" w:cstheme="minorEastAsia"/>
                <w:b w:val="0"/>
                <w:bCs w:val="0"/>
                <w:szCs w:val="21"/>
              </w:rPr>
              <w:t>关键过程：按配合比要求计量（称重）和搅拌（定时控制）两个，针对关键过程建立的控制文件有：《物料配比（称重）和搅拌（定时控制） 作业指导书》，并规定了确认的工作内容、确认方式、确认结果、确认记录等要求。</w:t>
            </w:r>
          </w:p>
          <w:p>
            <w:pPr>
              <w:spacing w:line="360" w:lineRule="auto"/>
              <w:ind w:firstLine="415" w:firstLineChars="19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val="0"/>
                <w:bCs/>
                <w:szCs w:val="21"/>
              </w:rPr>
              <w:t>生产部负责人述，按要求进行了过程能力确认，</w:t>
            </w:r>
            <w:r>
              <w:rPr>
                <w:rFonts w:hint="eastAsia" w:asciiTheme="minorEastAsia" w:hAnsiTheme="minorEastAsia" w:eastAsiaTheme="minorEastAsia" w:cstheme="minorEastAsia"/>
                <w:szCs w:val="21"/>
              </w:rPr>
              <w:t>查到《过程能力确认表》1：过程名称：按配合比要求计量（称重）， 确认时间20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.1.2，包括内容：确认项目、确认内容（要求）、确 认 结 果、人员能力和操作技能等，确认的员工：</w:t>
            </w:r>
            <w:r>
              <w:rPr>
                <w:rFonts w:hint="eastAsia" w:asciiTheme="minorEastAsia" w:hAnsiTheme="minorEastAsia" w:eastAsiaTheme="minorEastAsia" w:cstheme="minorEastAsia"/>
                <w:szCs w:val="21"/>
                <w:lang w:val="en-US" w:eastAsia="zh-CN"/>
              </w:rPr>
              <w:t>黎伯雪、黄金燕</w:t>
            </w:r>
            <w:r>
              <w:rPr>
                <w:rFonts w:hint="eastAsia" w:asciiTheme="minorEastAsia" w:hAnsiTheme="minorEastAsia" w:eastAsiaTheme="minorEastAsia" w:cstheme="minorEastAsia"/>
                <w:szCs w:val="21"/>
              </w:rPr>
              <w:t>，实施确认</w:t>
            </w:r>
            <w:r>
              <w:rPr>
                <w:rFonts w:hint="eastAsia" w:asciiTheme="minorEastAsia" w:hAnsiTheme="minorEastAsia" w:eastAsiaTheme="minorEastAsia" w:cstheme="minorEastAsia"/>
                <w:bCs/>
                <w:szCs w:val="21"/>
              </w:rPr>
              <w:t>人：</w:t>
            </w:r>
            <w:r>
              <w:rPr>
                <w:rFonts w:hint="eastAsia" w:asciiTheme="minorEastAsia" w:hAnsiTheme="minorEastAsia" w:eastAsiaTheme="minorEastAsia" w:cstheme="minorEastAsia"/>
                <w:bCs/>
                <w:szCs w:val="21"/>
                <w:lang w:val="en-US" w:eastAsia="zh-CN"/>
              </w:rPr>
              <w:t>张正兵、杜雷</w:t>
            </w:r>
            <w:r>
              <w:rPr>
                <w:rFonts w:hint="eastAsia" w:asciiTheme="minorEastAsia" w:hAnsiTheme="minorEastAsia" w:eastAsiaTheme="minorEastAsia" w:cstheme="minorEastAsia"/>
                <w:bCs/>
                <w:szCs w:val="21"/>
              </w:rPr>
              <w:t>等，确认时间：20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年1月2日。</w:t>
            </w:r>
          </w:p>
          <w:p>
            <w:pPr>
              <w:spacing w:line="360"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查到《过程能力确认表》2：过程名称：搅拌（定时控制）， 确认时间20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.1.2，包括内容：确认项目、确认内容（要求）、确 认 结 果、人员能力和操作技能等，确认的员工：</w:t>
            </w:r>
            <w:r>
              <w:rPr>
                <w:rFonts w:hint="eastAsia" w:asciiTheme="minorEastAsia" w:hAnsiTheme="minorEastAsia" w:eastAsiaTheme="minorEastAsia" w:cstheme="minorEastAsia"/>
                <w:szCs w:val="21"/>
                <w:lang w:val="en-US" w:eastAsia="zh-CN"/>
              </w:rPr>
              <w:t>黎伯雪、黄金燕</w:t>
            </w:r>
            <w:r>
              <w:rPr>
                <w:rFonts w:hint="eastAsia" w:asciiTheme="minorEastAsia" w:hAnsiTheme="minorEastAsia" w:eastAsiaTheme="minorEastAsia" w:cstheme="minorEastAsia"/>
                <w:szCs w:val="21"/>
              </w:rPr>
              <w:t>，实施确认</w:t>
            </w:r>
            <w:r>
              <w:rPr>
                <w:rFonts w:hint="eastAsia" w:asciiTheme="minorEastAsia" w:hAnsiTheme="minorEastAsia" w:eastAsiaTheme="minorEastAsia" w:cstheme="minorEastAsia"/>
                <w:bCs/>
                <w:szCs w:val="21"/>
              </w:rPr>
              <w:t>人：</w:t>
            </w:r>
            <w:r>
              <w:rPr>
                <w:rFonts w:hint="eastAsia" w:asciiTheme="minorEastAsia" w:hAnsiTheme="minorEastAsia" w:eastAsiaTheme="minorEastAsia" w:cstheme="minorEastAsia"/>
                <w:bCs/>
                <w:szCs w:val="21"/>
                <w:lang w:val="en-US" w:eastAsia="zh-CN"/>
              </w:rPr>
              <w:t>张正兵、杜雷</w:t>
            </w:r>
            <w:r>
              <w:rPr>
                <w:rFonts w:hint="eastAsia" w:asciiTheme="minorEastAsia" w:hAnsiTheme="minorEastAsia" w:eastAsiaTheme="minorEastAsia" w:cstheme="minorEastAsia"/>
                <w:bCs/>
                <w:szCs w:val="21"/>
              </w:rPr>
              <w:t>等，确认时间：20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年1月2日。</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（7）查到：《进货检验记录》、《过程检验记录》、《成品检验报告》和检测报告包括各工序检测记录和成品检测项目内容及要求等。</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val="0"/>
                <w:bCs w:val="0"/>
                <w:szCs w:val="21"/>
              </w:rPr>
              <w:t>过程/出厂检验标准：</w:t>
            </w:r>
            <w:r>
              <w:rPr>
                <w:rFonts w:hint="eastAsia" w:asciiTheme="minorEastAsia" w:hAnsiTheme="minorEastAsia" w:eastAsiaTheme="minorEastAsia" w:cstheme="minorEastAsia"/>
                <w:szCs w:val="21"/>
              </w:rPr>
              <w:t>详见8.1条款）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每月组织对生产部工艺纪律的执行情况进行1-2次集中检查，平时随时由主管人员进行现场巡视和检查，对发现的问题对责任者进行处罚，保证了操作者严格按照工艺文件的要求和作业指导书进行操作和过程控制。</w:t>
            </w:r>
          </w:p>
          <w:p>
            <w:pPr>
              <w:spacing w:line="360" w:lineRule="auto"/>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szCs w:val="21"/>
              </w:rPr>
              <w:t>产品交付到客户后，由</w:t>
            </w:r>
            <w:r>
              <w:rPr>
                <w:rFonts w:hint="eastAsia" w:asciiTheme="minorEastAsia" w:hAnsiTheme="minorEastAsia" w:eastAsiaTheme="minorEastAsia" w:cstheme="minorEastAsia"/>
                <w:szCs w:val="21"/>
                <w:lang w:val="en-US" w:eastAsia="zh-CN"/>
              </w:rPr>
              <w:t>销售</w:t>
            </w:r>
            <w:r>
              <w:rPr>
                <w:rFonts w:hint="eastAsia" w:asciiTheme="minorEastAsia" w:hAnsiTheme="minorEastAsia" w:eastAsiaTheme="minorEastAsia" w:cstheme="minorEastAsia"/>
                <w:bCs/>
                <w:szCs w:val="21"/>
              </w:rPr>
              <w:t>部归口负责，生产部接到</w:t>
            </w:r>
            <w:r>
              <w:rPr>
                <w:rFonts w:hint="eastAsia" w:asciiTheme="minorEastAsia" w:hAnsiTheme="minorEastAsia" w:eastAsiaTheme="minorEastAsia" w:cstheme="minorEastAsia"/>
                <w:bCs/>
                <w:szCs w:val="21"/>
                <w:lang w:val="en-US" w:eastAsia="zh-CN"/>
              </w:rPr>
              <w:t>销售</w:t>
            </w:r>
            <w:r>
              <w:rPr>
                <w:rFonts w:hint="eastAsia" w:asciiTheme="minorEastAsia" w:hAnsiTheme="minorEastAsia" w:eastAsiaTheme="minorEastAsia" w:cstheme="minorEastAsia"/>
                <w:bCs/>
                <w:szCs w:val="21"/>
              </w:rPr>
              <w:t>部的销售合同，进行生产计划，生产部按计划进行生产。生产任务通知单有客户名称、工程名称、混凝土使用部位、设计强度等级、交货日期等。生产部</w:t>
            </w:r>
            <w:r>
              <w:rPr>
                <w:rFonts w:hint="eastAsia" w:asciiTheme="minorEastAsia" w:hAnsiTheme="minorEastAsia" w:eastAsiaTheme="minorEastAsia" w:cstheme="minorEastAsia"/>
                <w:bCs/>
                <w:szCs w:val="21"/>
                <w:lang w:val="en-US" w:eastAsia="zh-CN"/>
              </w:rPr>
              <w:t>调度室</w:t>
            </w:r>
            <w:r>
              <w:rPr>
                <w:rFonts w:hint="eastAsia" w:asciiTheme="minorEastAsia" w:hAnsiTheme="minorEastAsia" w:eastAsiaTheme="minorEastAsia" w:cstheme="minorEastAsia"/>
                <w:bCs/>
                <w:szCs w:val="21"/>
              </w:rPr>
              <w:t>负责</w:t>
            </w:r>
            <w:r>
              <w:rPr>
                <w:rFonts w:hint="eastAsia" w:asciiTheme="minorEastAsia" w:hAnsiTheme="minorEastAsia" w:eastAsiaTheme="minorEastAsia" w:cstheme="minorEastAsia"/>
                <w:bCs/>
                <w:szCs w:val="21"/>
                <w:lang w:val="en-US" w:eastAsia="zh-CN"/>
              </w:rPr>
              <w:t>电话通知</w:t>
            </w:r>
          </w:p>
          <w:p>
            <w:pPr>
              <w:spacing w:line="360" w:lineRule="auto"/>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szCs w:val="21"/>
                <w:lang w:eastAsia="zh-CN"/>
              </w:rPr>
              <w:drawing>
                <wp:inline distT="0" distB="0" distL="114300" distR="114300">
                  <wp:extent cx="6369685" cy="4777740"/>
                  <wp:effectExtent l="0" t="0" r="5715" b="10160"/>
                  <wp:docPr id="6" name="图片 6" descr="e60c23b75a21fbd5fee650e5db9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60c23b75a21fbd5fee650e5db94997"/>
                          <pic:cNvPicPr>
                            <a:picLocks noChangeAspect="1"/>
                          </pic:cNvPicPr>
                        </pic:nvPicPr>
                        <pic:blipFill>
                          <a:blip r:embed="rId9"/>
                          <a:stretch>
                            <a:fillRect/>
                          </a:stretch>
                        </pic:blipFill>
                        <pic:spPr>
                          <a:xfrm>
                            <a:off x="0" y="0"/>
                            <a:ext cx="6369685" cy="4777740"/>
                          </a:xfrm>
                          <a:prstGeom prst="rect">
                            <a:avLst/>
                          </a:prstGeom>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产品交付后，</w:t>
            </w:r>
            <w:r>
              <w:rPr>
                <w:rFonts w:hint="eastAsia" w:asciiTheme="minorEastAsia" w:hAnsiTheme="minorEastAsia" w:eastAsiaTheme="minorEastAsia" w:cstheme="minorEastAsia"/>
                <w:kern w:val="0"/>
                <w:szCs w:val="21"/>
                <w:lang w:val="en-US" w:eastAsia="zh-CN"/>
              </w:rPr>
              <w:t>营销</w:t>
            </w:r>
            <w:r>
              <w:rPr>
                <w:rFonts w:hint="eastAsia" w:asciiTheme="minorEastAsia" w:hAnsiTheme="minorEastAsia" w:eastAsiaTheme="minorEastAsia" w:cstheme="minorEastAsia"/>
                <w:kern w:val="0"/>
                <w:szCs w:val="21"/>
              </w:rPr>
              <w:t>部为归口部门，详见</w:t>
            </w:r>
            <w:r>
              <w:rPr>
                <w:rFonts w:hint="eastAsia" w:asciiTheme="minorEastAsia" w:hAnsiTheme="minorEastAsia" w:eastAsiaTheme="minorEastAsia" w:cstheme="minorEastAsia"/>
                <w:kern w:val="0"/>
                <w:szCs w:val="21"/>
                <w:lang w:val="en-US" w:eastAsia="zh-CN"/>
              </w:rPr>
              <w:t>营销</w:t>
            </w:r>
            <w:r>
              <w:rPr>
                <w:rFonts w:hint="eastAsia" w:asciiTheme="minorEastAsia" w:hAnsiTheme="minorEastAsia" w:eastAsiaTheme="minorEastAsia" w:cstheme="minorEastAsia"/>
                <w:kern w:val="0"/>
                <w:szCs w:val="21"/>
              </w:rPr>
              <w:t>部检查表。</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查组织的输出标识、状态标识的规定？现场查看标识及可追溯性的状况？</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8.5.2</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生产部是标识和可追溯性的主管部门。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产品：以以订单、生产批号为标识进行跟踪</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原料进货分区域，有原材料仓库、成品区，按区域进行标识存放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可追溯性：当有追溯性要求时，通过生产订单、生产批号的标识来完成追溯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生产部确保在产品实现过程中避免产品或其状态的混淆和误用，以及实现作业过程和产品质量的追溯。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生产部门负责标识产品过程标识和最终产品标识；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库管人员负责管理采购产品入厂待验、入库保管、发放的标识；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生产操作人员负责标识的识别及所操作工序记录的填写；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检验人员负责标识的检查及工序检验记录的填写。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公司生产的产品如实施批次管理，做到：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a)实施批次管理的产品要分批投料、分批加工、检验、分批出厂，详细记录交付的数量、质量、操作者和检验者，并按规定保存；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b)产品的批次标识与原始记录保持一致；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c)产品出现质量问题时，能追溯产品交付前的情况和交付后的分布场所。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见现场标识有：合格、不合格、待检，检查日期：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.5-6日，检查项目：对加工工序原材料、半成品、成品产品标识、状态标识实施情况进行了检查。质检员：</w:t>
            </w:r>
            <w:r>
              <w:rPr>
                <w:rFonts w:hint="eastAsia" w:asciiTheme="minorEastAsia" w:hAnsiTheme="minorEastAsia" w:eastAsiaTheme="minorEastAsia" w:cstheme="minorEastAsia"/>
                <w:szCs w:val="21"/>
                <w:lang w:val="en-US" w:eastAsia="zh-CN"/>
              </w:rPr>
              <w:t>李剑</w:t>
            </w:r>
            <w:r>
              <w:rPr>
                <w:rFonts w:hint="eastAsia" w:asciiTheme="minorEastAsia" w:hAnsiTheme="minorEastAsia" w:eastAsiaTheme="minorEastAsia" w:cstheme="minorEastAsia"/>
                <w:szCs w:val="21"/>
              </w:rPr>
              <w:t>。</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公司在生产服务过程中不涉及顾客提供的任何产品、知识产权。顾客的个人信息，公司将其作为商业秘密，做到不外泄，经询问，无顾客的个人信息丢失和泄漏情况发生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公司对顾客的私人信息或有关技术要求均通过专用硬盘区域和配置的专用档案柜予以保存，确保了顾客信息的丢失和泄漏。</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公司涉及的顾客财产主要顾客付款未提货的产品。至体系建立以来未发生过顾客财产。</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Q8.5.4</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查看车间现场，产品放置在规定的区域，避免日晒、雨淋等，现场查看，产品的防护基本符合要求。</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编制了产品防护包装规定，如果有特殊要求的根据顾客要求和合同进行包装，产品在运</w:t>
            </w:r>
            <w:r>
              <w:rPr>
                <w:rFonts w:hint="eastAsia" w:asciiTheme="minorEastAsia" w:hAnsiTheme="minorEastAsia" w:eastAsiaTheme="minorEastAsia" w:cstheme="minorEastAsia"/>
                <w:szCs w:val="21"/>
                <w:lang w:val="en-US" w:eastAsia="zh-CN"/>
              </w:rPr>
              <w:t>输</w:t>
            </w:r>
            <w:r>
              <w:rPr>
                <w:rFonts w:hint="eastAsia" w:asciiTheme="minorEastAsia" w:hAnsiTheme="minorEastAsia" w:eastAsiaTheme="minorEastAsia" w:cstheme="minorEastAsia"/>
                <w:szCs w:val="21"/>
              </w:rPr>
              <w:t>过程中规定</w:t>
            </w:r>
            <w:r>
              <w:rPr>
                <w:rFonts w:hint="eastAsia" w:asciiTheme="minorEastAsia" w:hAnsiTheme="minorEastAsia" w:eastAsiaTheme="minorEastAsia" w:cstheme="minorEastAsia"/>
                <w:szCs w:val="21"/>
                <w:lang w:val="en-US" w:eastAsia="zh-CN"/>
              </w:rPr>
              <w:t>及时到达施工现场浇筑。</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体系运行至今无顾客不良反馈。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更改的控制</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对生产服务提供的更改进行必要的评审和控制，以确保稳定的符合要求。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组织保留形成文件的信息，包括有关更改评审结果、授权进行更改的人员以及根据评审所采取的必要措施。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经询问，目前无生产的变更。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960"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ES6.1.4</w:t>
            </w:r>
          </w:p>
        </w:tc>
        <w:tc>
          <w:tcPr>
            <w:tcW w:w="10738" w:type="dxa"/>
          </w:tcPr>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生产部部长</w:t>
            </w:r>
            <w:r>
              <w:rPr>
                <w:rFonts w:hint="eastAsia" w:asciiTheme="minorEastAsia" w:hAnsiTheme="minorEastAsia" w:eastAsiaTheme="minorEastAsia" w:cstheme="minorEastAsia"/>
                <w:bCs/>
                <w:szCs w:val="21"/>
                <w:lang w:val="en-US" w:eastAsia="zh-CN"/>
              </w:rPr>
              <w:t>张正兵</w:t>
            </w:r>
            <w:r>
              <w:rPr>
                <w:rFonts w:hint="eastAsia" w:asciiTheme="minorEastAsia" w:hAnsiTheme="minorEastAsia" w:eastAsiaTheme="minorEastAsia" w:cstheme="minorEastAsia"/>
                <w:bCs/>
                <w:szCs w:val="21"/>
              </w:rPr>
              <w:t>述：公司制订《环境因素识别与评价控制程序》和《危险源识别与风险评价控制程序》，生产部根据混凝土生产过程及工作特点对涉及的环境因素、危险源进行了识别和辨识。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在公司编制的</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环境因素识别与评价控制程序</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中，对环境因素识别和评价的目的、职责、工作程序和记录的要求均有明确的规定。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查到《环境因素识别评价表》：已识别生产部（包括车队）的环境因素产生过程包括：原材料进场、砂石上料、混凝土搅拌、设备、空压机、混凝土运输、设备维修、办公用车的使用</w:t>
            </w:r>
            <w:r>
              <w:rPr>
                <w:rFonts w:hint="eastAsia" w:ascii="宋体" w:hAnsi="宋体" w:cs="宋体"/>
                <w:kern w:val="0"/>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Cs w:val="21"/>
              </w:rPr>
              <w:t>考虑到环境影响、三种时态和三种状态等。使用分级评分的方式。基本合理。</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参加环境因素辨识和评价人员：  编制 </w:t>
            </w:r>
            <w:r>
              <w:rPr>
                <w:rFonts w:hint="eastAsia" w:asciiTheme="minorEastAsia" w:hAnsiTheme="minorEastAsia" w:eastAsiaTheme="minorEastAsia" w:cstheme="minorEastAsia"/>
                <w:bCs/>
                <w:szCs w:val="21"/>
                <w:lang w:val="en-US" w:eastAsia="zh-CN"/>
              </w:rPr>
              <w:t>杜雷</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荣习武</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 xml:space="preserve">月15日 </w:t>
            </w:r>
          </w:p>
          <w:p>
            <w:pPr>
              <w:spacing w:beforeLines="50" w:line="20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查到《重要环境因素清单》已识别重要环境因素包括：粉尘的排放、噪声的排放，明确的控制措施和责任部门，</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基本合理。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运输伤亡、</w:t>
            </w:r>
            <w:r>
              <w:rPr>
                <w:rFonts w:hint="eastAsia" w:asciiTheme="minorEastAsia" w:hAnsiTheme="minorEastAsia" w:eastAsiaTheme="minorEastAsia" w:cstheme="minorEastAsia"/>
                <w:bCs/>
                <w:szCs w:val="21"/>
                <w:lang w:val="en-US" w:eastAsia="zh-CN"/>
              </w:rPr>
              <w:t>触电、</w:t>
            </w:r>
            <w:r>
              <w:rPr>
                <w:rFonts w:hint="eastAsia" w:asciiTheme="minorEastAsia" w:hAnsiTheme="minorEastAsia" w:eastAsiaTheme="minorEastAsia" w:cstheme="minorEastAsia"/>
                <w:bCs/>
                <w:szCs w:val="21"/>
              </w:rPr>
              <w:t>机械伤害</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火灾</w:t>
            </w:r>
            <w:r>
              <w:rPr>
                <w:rFonts w:hint="eastAsia" w:asciiTheme="minorEastAsia" w:hAnsiTheme="minorEastAsia" w:eastAsiaTheme="minorEastAsia" w:cstheme="minorEastAsia"/>
                <w:bCs/>
                <w:szCs w:val="21"/>
              </w:rPr>
              <w:t>，并制定有控制措施。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评价人：编制 </w:t>
            </w:r>
            <w:r>
              <w:rPr>
                <w:rFonts w:hint="eastAsia" w:asciiTheme="minorEastAsia" w:hAnsiTheme="minorEastAsia" w:eastAsiaTheme="minorEastAsia" w:cstheme="minorEastAsia"/>
                <w:bCs/>
                <w:szCs w:val="21"/>
                <w:lang w:val="en-US" w:eastAsia="zh-CN"/>
              </w:rPr>
              <w:t>杜雷</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荣习武</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月15日 。以上危险源识别基本全面、无遗漏，评价基本合理。</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Pr>
          <w:p>
            <w:pPr>
              <w:tabs>
                <w:tab w:val="left" w:pos="9720"/>
                <w:tab w:val="left" w:pos="9900"/>
              </w:tabs>
              <w:spacing w:beforeLines="20" w:afterLines="20"/>
              <w:rPr>
                <w:rFonts w:ascii="宋体" w:hAnsi="宋体" w:cs="宋体"/>
                <w:szCs w:val="21"/>
              </w:rPr>
            </w:pPr>
            <w:r>
              <w:rPr>
                <w:rFonts w:hint="eastAsia" w:ascii="宋体" w:hAnsi="宋体" w:cs="宋体"/>
                <w:szCs w:val="21"/>
              </w:rPr>
              <w:t>法律法规和其他要求</w:t>
            </w:r>
          </w:p>
          <w:p>
            <w:pPr>
              <w:spacing w:line="280" w:lineRule="exact"/>
              <w:rPr>
                <w:rFonts w:ascii="宋体" w:hAnsi="宋体" w:cs="宋体"/>
                <w:szCs w:val="21"/>
              </w:rPr>
            </w:pPr>
          </w:p>
          <w:p>
            <w:pPr>
              <w:tabs>
                <w:tab w:val="left" w:pos="9720"/>
                <w:tab w:val="left" w:pos="9900"/>
              </w:tabs>
              <w:spacing w:beforeLines="20" w:afterLines="20"/>
              <w:rPr>
                <w:rFonts w:ascii="宋体" w:hAnsi="宋体" w:cs="宋体"/>
                <w:szCs w:val="21"/>
              </w:rPr>
            </w:pPr>
            <w:r>
              <w:rPr>
                <w:rFonts w:hint="eastAsia" w:ascii="宋体" w:hAnsi="宋体" w:cs="宋体"/>
                <w:szCs w:val="21"/>
              </w:rPr>
              <w:t>合规义务，合规性评价</w:t>
            </w:r>
          </w:p>
        </w:tc>
        <w:tc>
          <w:tcPr>
            <w:tcW w:w="960" w:type="dxa"/>
          </w:tcPr>
          <w:p>
            <w:pPr>
              <w:spacing w:line="360" w:lineRule="auto"/>
              <w:ind w:left="310" w:hanging="310" w:hangingChars="147"/>
              <w:rPr>
                <w:rFonts w:ascii="宋体" w:hAnsi="宋体" w:cs="宋体"/>
                <w:b/>
                <w:bCs/>
                <w:szCs w:val="21"/>
              </w:rPr>
            </w:pPr>
            <w:r>
              <w:rPr>
                <w:rFonts w:hint="eastAsia" w:ascii="宋体" w:hAnsi="宋体" w:cs="宋体"/>
                <w:b/>
                <w:bCs/>
                <w:szCs w:val="21"/>
              </w:rPr>
              <w:t>ES6.1.3</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r>
              <w:rPr>
                <w:rFonts w:hint="eastAsia" w:ascii="宋体" w:hAnsi="宋体" w:cs="宋体"/>
                <w:b/>
                <w:bCs/>
                <w:szCs w:val="21"/>
              </w:rPr>
              <w:t>ES9.1.2</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p>
          <w:p>
            <w:pPr>
              <w:pStyle w:val="18"/>
              <w:rPr>
                <w:rFonts w:ascii="宋体" w:hAnsi="宋体" w:cs="宋体"/>
                <w:szCs w:val="21"/>
              </w:rPr>
            </w:pPr>
          </w:p>
        </w:tc>
        <w:tc>
          <w:tcPr>
            <w:tcW w:w="10738" w:type="dxa"/>
            <w:vAlign w:val="center"/>
          </w:tcPr>
          <w:p>
            <w:pPr>
              <w:ind w:firstLine="210" w:firstLineChars="100"/>
              <w:rPr>
                <w:rFonts w:ascii="宋体" w:hAnsi="宋体" w:cs="宋体"/>
                <w:szCs w:val="21"/>
              </w:rPr>
            </w:pPr>
            <w:r>
              <w:rPr>
                <w:rFonts w:hint="eastAsia" w:ascii="宋体" w:hAnsi="宋体" w:cs="宋体"/>
                <w:szCs w:val="21"/>
              </w:rPr>
              <w:t>根据《法律法规和其他要求获取与识别控制程序》要求，办公区域由陈际华、生产车间由</w:t>
            </w:r>
            <w:r>
              <w:rPr>
                <w:rFonts w:hint="eastAsia" w:ascii="宋体" w:hAnsi="宋体"/>
                <w:szCs w:val="21"/>
              </w:rPr>
              <w:t>晏奇谋</w:t>
            </w:r>
            <w:r>
              <w:rPr>
                <w:rFonts w:hint="eastAsia" w:ascii="宋体" w:hAnsi="宋体" w:cs="宋体"/>
                <w:szCs w:val="21"/>
              </w:rPr>
              <w:t>对法律法规的更新进行跟踪记录，并进行补充。于</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日识别了法律法规清单。获取渠道，网络和期刊等。</w:t>
            </w:r>
          </w:p>
          <w:p>
            <w:pPr>
              <w:ind w:firstLine="420" w:firstLineChars="200"/>
              <w:rPr>
                <w:rFonts w:hint="eastAsia" w:ascii="宋体" w:hAnsi="宋体" w:cs="宋体"/>
                <w:szCs w:val="21"/>
              </w:rPr>
            </w:pPr>
            <w:r>
              <w:rPr>
                <w:rFonts w:hint="eastAsia" w:ascii="宋体" w:hAnsi="宋体" w:cs="宋体"/>
                <w:szCs w:val="21"/>
              </w:rPr>
              <w:t>提供《法律法规和其他要求清单》收集了如下环境和安全法律法规：</w:t>
            </w:r>
          </w:p>
          <w:p>
            <w:pPr>
              <w:snapToGrid w:val="0"/>
              <w:spacing w:line="280" w:lineRule="exact"/>
              <w:ind w:firstLine="400" w:firstLineChars="200"/>
              <w:jc w:val="left"/>
              <w:rPr>
                <w:rFonts w:hint="eastAsia"/>
                <w:sz w:val="20"/>
              </w:rPr>
            </w:pPr>
            <w:r>
              <w:rPr>
                <w:rFonts w:hint="eastAsia"/>
                <w:sz w:val="20"/>
              </w:rPr>
              <w:t xml:space="preserve">湖北省实施《中华人民共和国水污染防治法》办法 </w:t>
            </w:r>
          </w:p>
          <w:p>
            <w:pPr>
              <w:snapToGrid w:val="0"/>
              <w:spacing w:line="280" w:lineRule="exact"/>
              <w:ind w:firstLine="400" w:firstLineChars="200"/>
              <w:jc w:val="left"/>
              <w:rPr>
                <w:rFonts w:hint="eastAsia"/>
                <w:sz w:val="20"/>
              </w:rPr>
            </w:pPr>
            <w:r>
              <w:rPr>
                <w:rFonts w:hint="eastAsia"/>
                <w:sz w:val="20"/>
              </w:rPr>
              <w:t xml:space="preserve">湖北省城市环境噪声管理奖惩办法       </w:t>
            </w:r>
          </w:p>
          <w:p>
            <w:pPr>
              <w:snapToGrid w:val="0"/>
              <w:spacing w:line="280" w:lineRule="exact"/>
              <w:ind w:firstLine="400" w:firstLineChars="200"/>
              <w:jc w:val="left"/>
              <w:rPr>
                <w:rFonts w:hint="eastAsia"/>
                <w:sz w:val="20"/>
              </w:rPr>
            </w:pPr>
            <w:r>
              <w:rPr>
                <w:rFonts w:hint="eastAsia"/>
                <w:sz w:val="20"/>
              </w:rPr>
              <w:t>中华人民共和国固体废弃物污染环境防治法</w:t>
            </w:r>
          </w:p>
          <w:p>
            <w:pPr>
              <w:snapToGrid w:val="0"/>
              <w:spacing w:line="280" w:lineRule="exact"/>
              <w:ind w:firstLine="400" w:firstLineChars="200"/>
              <w:jc w:val="left"/>
              <w:rPr>
                <w:rFonts w:hint="eastAsia"/>
                <w:sz w:val="20"/>
              </w:rPr>
            </w:pPr>
            <w:r>
              <w:rPr>
                <w:rFonts w:hint="eastAsia"/>
                <w:sz w:val="20"/>
              </w:rPr>
              <w:t>湖北省化学危险品安全生产管理办法</w:t>
            </w:r>
          </w:p>
          <w:p>
            <w:pPr>
              <w:snapToGrid w:val="0"/>
              <w:spacing w:line="280" w:lineRule="exact"/>
              <w:ind w:firstLine="400" w:firstLineChars="200"/>
              <w:jc w:val="left"/>
              <w:rPr>
                <w:rFonts w:hint="eastAsia"/>
                <w:sz w:val="20"/>
              </w:rPr>
            </w:pPr>
            <w:r>
              <w:rPr>
                <w:rFonts w:hint="eastAsia"/>
                <w:sz w:val="20"/>
              </w:rPr>
              <w:t xml:space="preserve">中华人民共和国节约能源法  </w:t>
            </w:r>
          </w:p>
          <w:p>
            <w:pPr>
              <w:snapToGrid w:val="0"/>
              <w:spacing w:line="280" w:lineRule="exact"/>
              <w:ind w:firstLine="400" w:firstLineChars="200"/>
              <w:jc w:val="left"/>
              <w:rPr>
                <w:rFonts w:hint="eastAsia"/>
                <w:sz w:val="20"/>
              </w:rPr>
            </w:pPr>
            <w:r>
              <w:rPr>
                <w:rFonts w:hint="eastAsia"/>
                <w:sz w:val="20"/>
              </w:rPr>
              <w:t>生产安全事故应急预案管理办法</w:t>
            </w:r>
          </w:p>
          <w:p>
            <w:pPr>
              <w:snapToGrid w:val="0"/>
              <w:spacing w:line="280" w:lineRule="exact"/>
              <w:ind w:firstLine="400" w:firstLineChars="200"/>
              <w:jc w:val="left"/>
              <w:rPr>
                <w:sz w:val="20"/>
              </w:rPr>
            </w:pPr>
            <w:r>
              <w:rPr>
                <w:rFonts w:hint="eastAsia"/>
                <w:sz w:val="20"/>
              </w:rPr>
              <w:t>混凝土质量控制标准</w:t>
            </w:r>
            <w:r>
              <w:rPr>
                <w:rFonts w:hint="eastAsia"/>
                <w:sz w:val="20"/>
              </w:rPr>
              <w:tab/>
            </w:r>
            <w:r>
              <w:rPr>
                <w:rFonts w:hint="eastAsia"/>
                <w:sz w:val="20"/>
              </w:rPr>
              <w:t>GB50164</w:t>
            </w:r>
          </w:p>
          <w:p>
            <w:pPr>
              <w:snapToGrid w:val="0"/>
              <w:spacing w:line="280" w:lineRule="exact"/>
              <w:ind w:firstLine="400" w:firstLineChars="200"/>
              <w:jc w:val="left"/>
              <w:rPr>
                <w:sz w:val="20"/>
              </w:rPr>
            </w:pPr>
            <w:r>
              <w:rPr>
                <w:rFonts w:hint="eastAsia"/>
                <w:sz w:val="20"/>
              </w:rPr>
              <w:t>混凝土强度检验评定标准</w:t>
            </w:r>
            <w:r>
              <w:rPr>
                <w:rFonts w:hint="eastAsia"/>
                <w:sz w:val="20"/>
              </w:rPr>
              <w:tab/>
            </w:r>
            <w:r>
              <w:rPr>
                <w:rFonts w:hint="eastAsia"/>
                <w:sz w:val="20"/>
              </w:rPr>
              <w:t>GB/T 50107</w:t>
            </w:r>
          </w:p>
          <w:p>
            <w:pPr>
              <w:snapToGrid w:val="0"/>
              <w:spacing w:line="280" w:lineRule="exact"/>
              <w:ind w:firstLine="400" w:firstLineChars="200"/>
              <w:jc w:val="left"/>
              <w:rPr>
                <w:sz w:val="20"/>
              </w:rPr>
            </w:pPr>
            <w:r>
              <w:rPr>
                <w:rFonts w:hint="eastAsia"/>
                <w:sz w:val="20"/>
              </w:rPr>
              <w:t>普通混凝土配合比设计规程JGJ55-2011</w:t>
            </w:r>
          </w:p>
          <w:p>
            <w:pPr>
              <w:snapToGrid w:val="0"/>
              <w:spacing w:line="280" w:lineRule="exact"/>
              <w:ind w:firstLine="400" w:firstLineChars="200"/>
              <w:jc w:val="left"/>
              <w:rPr>
                <w:sz w:val="20"/>
              </w:rPr>
            </w:pPr>
            <w:r>
              <w:rPr>
                <w:rFonts w:hint="eastAsia"/>
                <w:sz w:val="20"/>
              </w:rPr>
              <w:t>普通混凝土拌和物性能试验方法标准GB/T50080</w:t>
            </w:r>
          </w:p>
          <w:p>
            <w:pPr>
              <w:snapToGrid w:val="0"/>
              <w:spacing w:line="280" w:lineRule="exact"/>
              <w:ind w:firstLine="400" w:firstLineChars="200"/>
              <w:jc w:val="left"/>
              <w:rPr>
                <w:sz w:val="20"/>
              </w:rPr>
            </w:pPr>
            <w:r>
              <w:rPr>
                <w:rFonts w:hint="eastAsia"/>
                <w:sz w:val="20"/>
              </w:rPr>
              <w:t xml:space="preserve">普通混凝土力学性能试验方法标准GB/T50081-2002 </w:t>
            </w:r>
          </w:p>
          <w:p>
            <w:pPr>
              <w:snapToGrid w:val="0"/>
              <w:spacing w:line="280" w:lineRule="exact"/>
              <w:ind w:firstLine="400" w:firstLineChars="200"/>
              <w:jc w:val="left"/>
              <w:rPr>
                <w:sz w:val="20"/>
              </w:rPr>
            </w:pPr>
            <w:r>
              <w:rPr>
                <w:rFonts w:hint="eastAsia"/>
                <w:sz w:val="20"/>
              </w:rPr>
              <w:t>普通混凝土长期性能和耐久性能试验方法标准GB/T50082</w:t>
            </w:r>
          </w:p>
          <w:p>
            <w:pPr>
              <w:ind w:firstLine="420" w:firstLineChars="200"/>
              <w:rPr>
                <w:rFonts w:ascii="宋体" w:hAnsi="宋体" w:cs="宋体"/>
                <w:szCs w:val="21"/>
              </w:rPr>
            </w:pPr>
            <w:r>
              <w:rPr>
                <w:rFonts w:hint="eastAsia" w:ascii="宋体" w:hAnsi="宋体" w:cs="宋体"/>
                <w:szCs w:val="21"/>
              </w:rPr>
              <w:t>规定了由任国峰负责组织对公司法律法规及要求遵守程度进行评价。提供了《法律法规和其他要求合规性评价报告》、《中华人民共和国水污染防治法（修正）》、《中华人民共和国大气污染防治法》。</w:t>
            </w:r>
          </w:p>
          <w:p>
            <w:pPr>
              <w:spacing w:line="560" w:lineRule="exact"/>
              <w:ind w:firstLine="556"/>
              <w:rPr>
                <w:b/>
                <w:sz w:val="72"/>
                <w:szCs w:val="72"/>
              </w:rPr>
            </w:pPr>
            <w:r>
              <w:rPr>
                <w:rFonts w:hint="eastAsia"/>
              </w:rPr>
              <w:t>见</w:t>
            </w:r>
            <w:r>
              <w:rPr>
                <w:szCs w:val="21"/>
              </w:rPr>
              <w:t>20</w:t>
            </w:r>
            <w:r>
              <w:rPr>
                <w:rFonts w:hint="eastAsia"/>
                <w:szCs w:val="21"/>
                <w:lang w:val="en-US" w:eastAsia="zh-CN"/>
              </w:rPr>
              <w:t>20</w:t>
            </w:r>
            <w:r>
              <w:rPr>
                <w:rFonts w:hint="eastAsia"/>
                <w:szCs w:val="21"/>
              </w:rPr>
              <w:t>年度合规性评价报告</w:t>
            </w:r>
            <w:r>
              <w:rPr>
                <w:rFonts w:hint="eastAsia"/>
              </w:rPr>
              <w:t>，日期：</w:t>
            </w:r>
            <w:r>
              <w:t>20</w:t>
            </w:r>
            <w:r>
              <w:rPr>
                <w:rFonts w:hint="eastAsia"/>
                <w:lang w:val="en-US" w:eastAsia="zh-CN"/>
              </w:rPr>
              <w:t>20</w:t>
            </w:r>
            <w:r>
              <w:rPr>
                <w:rFonts w:hint="eastAsia"/>
              </w:rPr>
              <w:t>年</w:t>
            </w:r>
            <w:r>
              <w:rPr>
                <w:rFonts w:hint="eastAsia"/>
                <w:lang w:val="en-US" w:eastAsia="zh-CN"/>
              </w:rPr>
              <w:t>6</w:t>
            </w:r>
            <w:r>
              <w:rPr>
                <w:rFonts w:hint="eastAsia"/>
              </w:rPr>
              <w:t>月23日，</w:t>
            </w:r>
            <w:r>
              <w:rPr>
                <w:rFonts w:hint="eastAsia" w:ascii="宋体" w:hAnsi="宋体"/>
                <w:b w:val="0"/>
                <w:bCs w:val="0"/>
                <w:sz w:val="21"/>
                <w:szCs w:val="21"/>
              </w:rPr>
              <w:t>参加人员：</w:t>
            </w:r>
            <w:r>
              <w:rPr>
                <w:rFonts w:hint="eastAsia" w:ascii="宋体" w:hAnsi="宋体"/>
                <w:sz w:val="21"/>
                <w:szCs w:val="21"/>
              </w:rPr>
              <w:t xml:space="preserve"> </w:t>
            </w:r>
            <w:r>
              <w:rPr>
                <w:rFonts w:hint="eastAsia" w:ascii="宋体" w:hAnsi="宋体"/>
                <w:b w:val="0"/>
                <w:bCs w:val="0"/>
                <w:sz w:val="21"/>
                <w:szCs w:val="21"/>
                <w:lang w:val="en-US" w:eastAsia="zh-CN"/>
              </w:rPr>
              <w:t>荣习武</w:t>
            </w:r>
            <w:r>
              <w:rPr>
                <w:rFonts w:hint="eastAsia" w:ascii="宋体" w:hAnsi="宋体" w:eastAsia="宋体" w:cs="宋体"/>
                <w:b w:val="0"/>
                <w:bCs w:val="0"/>
                <w:sz w:val="21"/>
                <w:szCs w:val="21"/>
                <w:lang w:val="en-US" w:eastAsia="zh-CN"/>
              </w:rPr>
              <w:t xml:space="preserve">  </w:t>
            </w:r>
            <w:r>
              <w:rPr>
                <w:rFonts w:hint="eastAsia"/>
                <w:b w:val="0"/>
                <w:bCs w:val="0"/>
                <w:sz w:val="21"/>
                <w:szCs w:val="21"/>
                <w:lang w:val="en-US" w:eastAsia="zh-CN"/>
              </w:rPr>
              <w:t>黄金燕</w:t>
            </w:r>
            <w:r>
              <w:rPr>
                <w:rFonts w:hint="eastAsia" w:ascii="宋体" w:hAnsi="宋体" w:eastAsia="宋体" w:cs="宋体"/>
                <w:b w:val="0"/>
                <w:bCs w:val="0"/>
                <w:sz w:val="21"/>
                <w:szCs w:val="21"/>
                <w:lang w:val="en-US" w:eastAsia="zh-CN"/>
              </w:rPr>
              <w:t xml:space="preserve"> 杜雷 </w:t>
            </w:r>
            <w:r>
              <w:rPr>
                <w:rFonts w:hint="eastAsia"/>
                <w:b w:val="0"/>
                <w:bCs w:val="0"/>
                <w:sz w:val="21"/>
                <w:szCs w:val="21"/>
                <w:lang w:val="en-US" w:eastAsia="zh-CN"/>
              </w:rPr>
              <w:t>叶忠能</w:t>
            </w:r>
          </w:p>
          <w:p>
            <w:pPr>
              <w:pStyle w:val="18"/>
              <w:rPr>
                <w:rFonts w:ascii="宋体" w:hAnsi="宋体" w:cs="宋体"/>
                <w:szCs w:val="21"/>
              </w:rPr>
            </w:pPr>
            <w:r>
              <w:rPr>
                <w:rFonts w:hint="eastAsia" w:ascii="宋体" w:hAnsi="宋体" w:cs="宋体"/>
                <w:szCs w:val="21"/>
              </w:rPr>
              <w:t>组织进行合规性的评价。包括：中华人民共和国安全生产法、中华人民共和国消防法、中华人民共和国环境保护法、中华人民共和国节约能源法、产品质量法等，识别基本全面。评价结论：满足要求。明确了法律法规及其他要求对公司环境因素、危险源的应用，明确了相应的适用条款。</w:t>
            </w:r>
          </w:p>
          <w:p>
            <w:pPr>
              <w:pStyle w:val="18"/>
              <w:rPr>
                <w:rFonts w:ascii="宋体" w:hAnsi="宋体" w:cs="宋体"/>
                <w:szCs w:val="21"/>
              </w:rPr>
            </w:pPr>
            <w:r>
              <w:rPr>
                <w:rFonts w:hint="eastAsia" w:ascii="宋体" w:hAnsi="宋体" w:cs="宋体"/>
                <w:szCs w:val="21"/>
              </w:rPr>
              <w:t>评价结果：</w:t>
            </w:r>
          </w:p>
          <w:p>
            <w:pPr>
              <w:pStyle w:val="18"/>
            </w:pPr>
            <w:r>
              <w:rPr>
                <w:rFonts w:hint="eastAsia"/>
              </w:rPr>
              <w:t>从本年度检查的结果来看，我公司没有违反国家法律、法规及相关标准，能严格遵守国家有关环境和职业健康安全管理方面的相关规定，密切关注法律法规的变化，并适时调整，严格按体系标准执行。</w:t>
            </w:r>
            <w:r>
              <w:t>未发生重大安全生产事故，无环境污染事件发生</w:t>
            </w:r>
            <w:r>
              <w:rPr>
                <w:rFonts w:hint="eastAsia"/>
              </w:rPr>
              <w:t>，</w:t>
            </w:r>
            <w:r>
              <w:t>未发生尘肺病、传染病及其他卫生防疫问题事件，无个人或单位投诉</w:t>
            </w:r>
            <w:r>
              <w:rPr>
                <w:rFonts w:hint="eastAsia"/>
              </w:rPr>
              <w:t>。</w:t>
            </w:r>
            <w:r>
              <w:t>执行结果是有效的。对</w:t>
            </w:r>
            <w:r>
              <w:rPr>
                <w:rFonts w:hint="eastAsia"/>
              </w:rPr>
              <w:t>公司</w:t>
            </w:r>
            <w:r>
              <w:t>的环保意识和环境管理水平的提高起到了明显的促进作用。</w:t>
            </w:r>
          </w:p>
          <w:p>
            <w:pPr>
              <w:pStyle w:val="18"/>
            </w:pPr>
            <w:r>
              <w:rPr>
                <w:rFonts w:hint="eastAsia"/>
              </w:rPr>
              <w:t>查有具体评价过程记录</w:t>
            </w:r>
          </w:p>
          <w:p>
            <w:pPr>
              <w:pStyle w:val="18"/>
              <w:ind w:firstLine="230" w:firstLineChars="100"/>
            </w:pPr>
            <w:r>
              <w:rPr>
                <w:rFonts w:hint="eastAsia"/>
              </w:rPr>
              <w:t>通过培训、开会、发文件等形式将法律法规要求传达给了员工和相关方。</w:t>
            </w:r>
          </w:p>
          <w:p>
            <w:pPr>
              <w:pStyle w:val="18"/>
              <w:rPr>
                <w:rFonts w:asciiTheme="minorEastAsia" w:hAnsiTheme="minorEastAsia" w:eastAsiaTheme="minorEastAsia" w:cstheme="minorEastAsia"/>
              </w:rPr>
            </w:pPr>
            <w:r>
              <w:rPr>
                <w:rFonts w:hint="eastAsia" w:asciiTheme="minorEastAsia" w:hAnsiTheme="minorEastAsia" w:eastAsiaTheme="minorEastAsia" w:cstheme="minorEastAsia"/>
              </w:rPr>
              <w:t>合规性评价的实施基本有效。</w:t>
            </w:r>
          </w:p>
          <w:p>
            <w:pPr>
              <w:pStyle w:val="18"/>
            </w:pPr>
            <w:r>
              <w:rPr>
                <w:rFonts w:hint="eastAsia" w:asciiTheme="minorEastAsia" w:hAnsiTheme="minorEastAsia" w:eastAsiaTheme="minorEastAsia" w:cstheme="minorEastAsia"/>
              </w:rPr>
              <w:t>经了解，《20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年度合规性评价报告》已经输入本年度的管理评审，符合。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S8.1.3</w:t>
            </w:r>
          </w:p>
          <w:p>
            <w:pPr>
              <w:rPr>
                <w:rFonts w:asciiTheme="minorEastAsia" w:hAnsiTheme="minorEastAsia" w:eastAsiaTheme="minorEastAsia" w:cstheme="minorEastAsia"/>
                <w:szCs w:val="21"/>
              </w:rPr>
            </w:pPr>
          </w:p>
        </w:tc>
        <w:tc>
          <w:tcPr>
            <w:tcW w:w="1073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重要环境因素的控制，依据公司的相关规定：节能降耗控制程序、废弃物控制程序、大气污染防治控制程序、噪声控制程序、消防管理控制程序等；</w:t>
            </w:r>
          </w:p>
          <w:p>
            <w:pPr>
              <w:numPr>
                <w:ilvl w:val="0"/>
                <w:numId w:val="5"/>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废水控制：</w:t>
            </w:r>
            <w:r>
              <w:rPr>
                <w:rFonts w:hint="eastAsia" w:asciiTheme="minorEastAsia" w:hAnsiTheme="minorEastAsia" w:eastAsiaTheme="minorEastAsia" w:cstheme="minorEastAsia"/>
                <w:bCs/>
                <w:szCs w:val="21"/>
                <w:lang w:val="en-US" w:eastAsia="zh-CN"/>
              </w:rPr>
              <w:t>生产废水为搅拌车、搅拌机等设备清洁废水及砂石分离过程产生的废水，生产废水经沉淀池收集后回用，不外排。生活废水近远期采取不同的处理方式。近期，项目食堂废水经隔油池处理后与生活废水混流，经化粪池和厂区一体化4S-MBR处理工艺处理达到《污水综合排放标准》（GB8978-1996）表4一级标准要求后用于厂区绿化；远期，项目食堂废水经隔油池处理后与生活废水混流，经化粪池处理达到《污水综合排放标准》（GB8978-1996）表4三级标准后经规范化排污口排入郭河镇市政管网，进入郭河镇污水处理厂处理。</w:t>
            </w:r>
          </w:p>
          <w:p>
            <w:pPr>
              <w:numPr>
                <w:ilvl w:val="0"/>
                <w:numId w:val="5"/>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噪声控制：</w:t>
            </w:r>
            <w:r>
              <w:rPr>
                <w:rFonts w:hint="eastAsia" w:asciiTheme="minorEastAsia" w:hAnsiTheme="minorEastAsia" w:eastAsiaTheme="minorEastAsia" w:cstheme="minorEastAsia"/>
                <w:bCs/>
                <w:szCs w:val="21"/>
                <w:lang w:val="en-US" w:eastAsia="zh-CN"/>
              </w:rPr>
              <w:t>企业采取优化厂区平面布置，合理布置高噪声设备，对高噪声设备采取隔声、消声、减振及置于相对封闭的厂房内等措施，并对厂区进行绿化等措施降低噪声对周围环境的影响。</w:t>
            </w:r>
          </w:p>
          <w:p>
            <w:pPr>
              <w:numPr>
                <w:ilvl w:val="0"/>
                <w:numId w:val="5"/>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废气控制：公司的生产设有属于密闭设备，自动化程度高，原料为颗粒状，在生产过程中不产生粉尘及废气，生产中的废气及粉尘为清扫地面产生的灰尘，公司采取降尘洒水，通风的办法。见附件环境监测报告</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4）固废控制：</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除尘器及车间收集的粉尘作为原料回用于生产；砂石泥浆及沉淀池污泥堆放于厂区堆场，作为厂区地面基础设施材料综合利用，后期经干化后运至垃圾填埋场填埋，生活垃圾集中收集后由环卫部门定期清运。</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9）触电：电箱均有防触电标识，人员经过培训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公司制定了安全生产责任属，制定了安全目标考核制定.</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提供员工体检清单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运行控制基本满足要求。</w:t>
            </w:r>
          </w:p>
        </w:tc>
        <w:tc>
          <w:tcPr>
            <w:tcW w:w="851" w:type="dxa"/>
          </w:tcPr>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负责人介绍，公司制定《应急准备和响应控制程序》、《应急救援预案》等，包括：火灾、爆炸应急预案、生产车间中毒、梅雨、雷电等恶劣天气应急预案、高空坠落应急预案等</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见：《高空坠落预案演练记录》</w:t>
            </w:r>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时间 ：20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月2</w:t>
            </w: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日</w:t>
            </w:r>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地点：1号仓</w:t>
            </w:r>
          </w:p>
          <w:p>
            <w:pPr>
              <w:ind w:firstLine="480" w:firstLineChars="200"/>
              <w:rPr>
                <w:rFonts w:hint="default" w:asciiTheme="minorEastAsia" w:hAnsiTheme="minorEastAsia" w:eastAsiaTheme="minorEastAsia" w:cstheme="minorEastAsia"/>
                <w:bCs/>
                <w:szCs w:val="21"/>
                <w:lang w:val="en-US" w:eastAsia="zh-CN"/>
              </w:rPr>
            </w:pPr>
            <w:r>
              <w:rPr>
                <w:rFonts w:hint="eastAsia"/>
                <w:sz w:val="24"/>
                <w:szCs w:val="24"/>
              </w:rPr>
              <w:t>演练</w:t>
            </w:r>
            <w:r>
              <w:rPr>
                <w:rFonts w:hint="eastAsia" w:asciiTheme="minorEastAsia" w:hAnsiTheme="minorEastAsia" w:eastAsiaTheme="minorEastAsia" w:cstheme="minorEastAsia"/>
                <w:bCs/>
                <w:szCs w:val="21"/>
              </w:rPr>
              <w:t>部门：生产部</w:t>
            </w:r>
            <w:r>
              <w:rPr>
                <w:rFonts w:hint="eastAsia" w:asciiTheme="minorEastAsia" w:hAnsiTheme="minorEastAsia" w:eastAsiaTheme="minorEastAsia" w:cstheme="minorEastAsia"/>
                <w:bCs/>
                <w:szCs w:val="21"/>
                <w:lang w:val="en-US" w:eastAsia="zh-CN"/>
              </w:rPr>
              <w:t>及公司各部门</w:t>
            </w:r>
          </w:p>
          <w:p>
            <w:pPr>
              <w:ind w:firstLine="420" w:firstLineChars="200"/>
              <w:rPr>
                <w:rFonts w:hint="eastAsia"/>
                <w:sz w:val="24"/>
                <w:szCs w:val="24"/>
                <w:lang w:val="en-US" w:eastAsia="zh-CN"/>
              </w:rPr>
            </w:pPr>
            <w:r>
              <w:rPr>
                <w:rFonts w:hint="eastAsia" w:asciiTheme="minorEastAsia" w:hAnsiTheme="minorEastAsia" w:eastAsiaTheme="minorEastAsia" w:cstheme="minorEastAsia"/>
                <w:bCs/>
                <w:szCs w:val="21"/>
                <w:lang w:val="en-US" w:eastAsia="zh-CN"/>
              </w:rPr>
              <w:t>负责人</w:t>
            </w:r>
            <w:r>
              <w:rPr>
                <w:rFonts w:hint="eastAsia" w:asciiTheme="minorEastAsia" w:hAnsiTheme="minorEastAsia" w:eastAsiaTheme="minorEastAsia" w:cstheme="minorEastAsia"/>
                <w:bCs/>
                <w:szCs w:val="21"/>
              </w:rPr>
              <w:t>：</w:t>
            </w:r>
            <w:r>
              <w:rPr>
                <w:rFonts w:hint="eastAsia"/>
                <w:sz w:val="21"/>
                <w:szCs w:val="21"/>
                <w:lang w:val="en-US" w:eastAsia="zh-CN"/>
              </w:rPr>
              <w:t>黄金燕</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参加人员</w:t>
            </w:r>
            <w:r>
              <w:rPr>
                <w:rFonts w:hint="eastAsia" w:asciiTheme="minorEastAsia" w:hAnsiTheme="minorEastAsia" w:eastAsiaTheme="minorEastAsia" w:cstheme="minorEastAsia"/>
                <w:bCs/>
                <w:szCs w:val="21"/>
                <w:lang w:val="en-US" w:eastAsia="zh-CN"/>
              </w:rPr>
              <w:t>生产部和各部门相关人员</w:t>
            </w:r>
            <w:r>
              <w:rPr>
                <w:rFonts w:hint="eastAsia" w:asciiTheme="minorEastAsia" w:hAnsiTheme="minorEastAsia" w:eastAsiaTheme="minorEastAsia" w:cstheme="minorEastAsia"/>
                <w:bCs/>
                <w:szCs w:val="21"/>
              </w:rPr>
              <w:t>等。过程记录详细。</w:t>
            </w:r>
          </w:p>
          <w:p>
            <w:pPr>
              <w:pStyle w:val="18"/>
              <w:ind w:firstLine="46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月2</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日组织了</w:t>
            </w:r>
            <w:r>
              <w:rPr>
                <w:rFonts w:hint="eastAsia" w:asciiTheme="minorEastAsia" w:hAnsiTheme="minorEastAsia" w:eastAsiaTheme="minorEastAsia" w:cstheme="minorEastAsia"/>
                <w:bCs w:val="0"/>
                <w:szCs w:val="21"/>
              </w:rPr>
              <w:t>高空坠落</w:t>
            </w:r>
            <w:r>
              <w:rPr>
                <w:rFonts w:hint="eastAsia" w:asciiTheme="minorEastAsia" w:hAnsiTheme="minorEastAsia" w:eastAsiaTheme="minorEastAsia" w:cstheme="minorEastAsia"/>
                <w:szCs w:val="21"/>
              </w:rPr>
              <w:t>预案演练，演练中不但讲解了高空坠落发生后的处理流程，包括汇报机制，通知医院，疏导交通保证救援通道畅通，实施抢救等，并在演练结束后进行了总结，应急预案有可操作性，应急人员基本掌握该方案，能够应对突发事件。</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基本符合。</w:t>
            </w:r>
          </w:p>
        </w:tc>
        <w:tc>
          <w:tcPr>
            <w:tcW w:w="851" w:type="dxa"/>
          </w:tc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145567"/>
    <w:multiLevelType w:val="singleLevel"/>
    <w:tmpl w:val="F8145567"/>
    <w:lvl w:ilvl="0" w:tentative="0">
      <w:start w:val="3"/>
      <w:numFmt w:val="decimal"/>
      <w:suff w:val="nothing"/>
      <w:lvlText w:val="%1、"/>
      <w:lvlJc w:val="left"/>
    </w:lvl>
  </w:abstractNum>
  <w:abstractNum w:abstractNumId="1">
    <w:nsid w:val="500D838D"/>
    <w:multiLevelType w:val="singleLevel"/>
    <w:tmpl w:val="500D838D"/>
    <w:lvl w:ilvl="0" w:tentative="0">
      <w:start w:val="2"/>
      <w:numFmt w:val="decimal"/>
      <w:suff w:val="nothing"/>
      <w:lvlText w:val="（%1）"/>
      <w:lvlJc w:val="left"/>
    </w:lvl>
  </w:abstractNum>
  <w:abstractNum w:abstractNumId="2">
    <w:nsid w:val="5A6FD64E"/>
    <w:multiLevelType w:val="singleLevel"/>
    <w:tmpl w:val="5A6FD64E"/>
    <w:lvl w:ilvl="0" w:tentative="0">
      <w:start w:val="1"/>
      <w:numFmt w:val="decimal"/>
      <w:suff w:val="nothing"/>
      <w:lvlText w:val="%1、"/>
      <w:lvlJc w:val="left"/>
    </w:lvl>
  </w:abstractNum>
  <w:abstractNum w:abstractNumId="3">
    <w:nsid w:val="62A507B7"/>
    <w:multiLevelType w:val="singleLevel"/>
    <w:tmpl w:val="62A507B7"/>
    <w:lvl w:ilvl="0" w:tentative="0">
      <w:start w:val="1"/>
      <w:numFmt w:val="decimal"/>
      <w:suff w:val="nothing"/>
      <w:lvlText w:val="%1）"/>
      <w:lvlJc w:val="left"/>
    </w:lvl>
  </w:abstractNum>
  <w:abstractNum w:abstractNumId="4">
    <w:nsid w:val="71DB2B6F"/>
    <w:multiLevelType w:val="multilevel"/>
    <w:tmpl w:val="71DB2B6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AE"/>
    <w:rsid w:val="00005BB9"/>
    <w:rsid w:val="000066A8"/>
    <w:rsid w:val="00007D0C"/>
    <w:rsid w:val="00010B6C"/>
    <w:rsid w:val="00011201"/>
    <w:rsid w:val="00013542"/>
    <w:rsid w:val="00013FDC"/>
    <w:rsid w:val="000143B6"/>
    <w:rsid w:val="00016400"/>
    <w:rsid w:val="00021448"/>
    <w:rsid w:val="000230D8"/>
    <w:rsid w:val="000237F6"/>
    <w:rsid w:val="00024542"/>
    <w:rsid w:val="0003373A"/>
    <w:rsid w:val="0003528B"/>
    <w:rsid w:val="000357EA"/>
    <w:rsid w:val="00035B70"/>
    <w:rsid w:val="000400E2"/>
    <w:rsid w:val="00041CB4"/>
    <w:rsid w:val="00042845"/>
    <w:rsid w:val="00043BFA"/>
    <w:rsid w:val="00044058"/>
    <w:rsid w:val="00044D37"/>
    <w:rsid w:val="0004770E"/>
    <w:rsid w:val="000477B2"/>
    <w:rsid w:val="00051FC7"/>
    <w:rsid w:val="00054C43"/>
    <w:rsid w:val="000552D4"/>
    <w:rsid w:val="000570CC"/>
    <w:rsid w:val="00062369"/>
    <w:rsid w:val="00062E46"/>
    <w:rsid w:val="00064067"/>
    <w:rsid w:val="00067008"/>
    <w:rsid w:val="00067168"/>
    <w:rsid w:val="00067B69"/>
    <w:rsid w:val="000712FC"/>
    <w:rsid w:val="000759E0"/>
    <w:rsid w:val="00083A24"/>
    <w:rsid w:val="000915E2"/>
    <w:rsid w:val="00093361"/>
    <w:rsid w:val="000940EF"/>
    <w:rsid w:val="0009442F"/>
    <w:rsid w:val="00095137"/>
    <w:rsid w:val="000A0AAD"/>
    <w:rsid w:val="000B27C8"/>
    <w:rsid w:val="000B3A37"/>
    <w:rsid w:val="000B3BCA"/>
    <w:rsid w:val="000B54B9"/>
    <w:rsid w:val="000B6328"/>
    <w:rsid w:val="000B75B4"/>
    <w:rsid w:val="000B7BA6"/>
    <w:rsid w:val="000C6359"/>
    <w:rsid w:val="000C6395"/>
    <w:rsid w:val="000D0B44"/>
    <w:rsid w:val="000D2AD7"/>
    <w:rsid w:val="000D3E88"/>
    <w:rsid w:val="000E7118"/>
    <w:rsid w:val="000E7226"/>
    <w:rsid w:val="000F0D61"/>
    <w:rsid w:val="000F0F7E"/>
    <w:rsid w:val="000F2701"/>
    <w:rsid w:val="000F2D62"/>
    <w:rsid w:val="00112782"/>
    <w:rsid w:val="00113541"/>
    <w:rsid w:val="00117DD7"/>
    <w:rsid w:val="00121BFE"/>
    <w:rsid w:val="00131E26"/>
    <w:rsid w:val="00132BCA"/>
    <w:rsid w:val="00132E6E"/>
    <w:rsid w:val="00141599"/>
    <w:rsid w:val="001503E3"/>
    <w:rsid w:val="001532A4"/>
    <w:rsid w:val="00161D50"/>
    <w:rsid w:val="00164759"/>
    <w:rsid w:val="00167105"/>
    <w:rsid w:val="00167A09"/>
    <w:rsid w:val="00170039"/>
    <w:rsid w:val="00171DD5"/>
    <w:rsid w:val="001763EE"/>
    <w:rsid w:val="00176E59"/>
    <w:rsid w:val="0017723E"/>
    <w:rsid w:val="00177670"/>
    <w:rsid w:val="00182D6A"/>
    <w:rsid w:val="00182DFD"/>
    <w:rsid w:val="00183422"/>
    <w:rsid w:val="001865A5"/>
    <w:rsid w:val="00186D1A"/>
    <w:rsid w:val="00192FF0"/>
    <w:rsid w:val="00193594"/>
    <w:rsid w:val="0019698C"/>
    <w:rsid w:val="001A0271"/>
    <w:rsid w:val="001A26B6"/>
    <w:rsid w:val="001A2D7F"/>
    <w:rsid w:val="001A7792"/>
    <w:rsid w:val="001B0503"/>
    <w:rsid w:val="001C0228"/>
    <w:rsid w:val="001C56CA"/>
    <w:rsid w:val="001C6AF4"/>
    <w:rsid w:val="001D45A7"/>
    <w:rsid w:val="001D5E29"/>
    <w:rsid w:val="001D7441"/>
    <w:rsid w:val="001E08F3"/>
    <w:rsid w:val="002002D5"/>
    <w:rsid w:val="002004CC"/>
    <w:rsid w:val="00201111"/>
    <w:rsid w:val="00201D35"/>
    <w:rsid w:val="00210A9A"/>
    <w:rsid w:val="002134FE"/>
    <w:rsid w:val="0021644A"/>
    <w:rsid w:val="00225BAB"/>
    <w:rsid w:val="002308F2"/>
    <w:rsid w:val="00240CA1"/>
    <w:rsid w:val="00243B9F"/>
    <w:rsid w:val="0024679C"/>
    <w:rsid w:val="00250BC1"/>
    <w:rsid w:val="00250DD4"/>
    <w:rsid w:val="00250FDA"/>
    <w:rsid w:val="002563B0"/>
    <w:rsid w:val="0026014F"/>
    <w:rsid w:val="00272022"/>
    <w:rsid w:val="00273E21"/>
    <w:rsid w:val="00275B75"/>
    <w:rsid w:val="00276B24"/>
    <w:rsid w:val="00283BA5"/>
    <w:rsid w:val="00284D93"/>
    <w:rsid w:val="00286B41"/>
    <w:rsid w:val="002927F5"/>
    <w:rsid w:val="002939AD"/>
    <w:rsid w:val="00296B99"/>
    <w:rsid w:val="00296CED"/>
    <w:rsid w:val="002A2EAA"/>
    <w:rsid w:val="002A52FC"/>
    <w:rsid w:val="002A674D"/>
    <w:rsid w:val="002B0BAF"/>
    <w:rsid w:val="002B1852"/>
    <w:rsid w:val="002B2260"/>
    <w:rsid w:val="002B33F0"/>
    <w:rsid w:val="002B4C80"/>
    <w:rsid w:val="002B7FFD"/>
    <w:rsid w:val="002C7BF3"/>
    <w:rsid w:val="002D0D47"/>
    <w:rsid w:val="002D3565"/>
    <w:rsid w:val="002E2412"/>
    <w:rsid w:val="002E4419"/>
    <w:rsid w:val="002E482D"/>
    <w:rsid w:val="002F191A"/>
    <w:rsid w:val="002F1C7F"/>
    <w:rsid w:val="002F5C35"/>
    <w:rsid w:val="00300869"/>
    <w:rsid w:val="00302B44"/>
    <w:rsid w:val="00306719"/>
    <w:rsid w:val="00311187"/>
    <w:rsid w:val="00316125"/>
    <w:rsid w:val="00317BBD"/>
    <w:rsid w:val="003224A8"/>
    <w:rsid w:val="003227F7"/>
    <w:rsid w:val="00324557"/>
    <w:rsid w:val="00337062"/>
    <w:rsid w:val="00337322"/>
    <w:rsid w:val="00337922"/>
    <w:rsid w:val="0034023F"/>
    <w:rsid w:val="00340867"/>
    <w:rsid w:val="00341272"/>
    <w:rsid w:val="003451D4"/>
    <w:rsid w:val="00350FA4"/>
    <w:rsid w:val="00352777"/>
    <w:rsid w:val="00354BEE"/>
    <w:rsid w:val="00362EB4"/>
    <w:rsid w:val="00363D1A"/>
    <w:rsid w:val="003664FA"/>
    <w:rsid w:val="00376139"/>
    <w:rsid w:val="00376EDA"/>
    <w:rsid w:val="00380837"/>
    <w:rsid w:val="00381E31"/>
    <w:rsid w:val="00383276"/>
    <w:rsid w:val="0039016D"/>
    <w:rsid w:val="00391DF4"/>
    <w:rsid w:val="003957EC"/>
    <w:rsid w:val="003960CD"/>
    <w:rsid w:val="003A198A"/>
    <w:rsid w:val="003A24D0"/>
    <w:rsid w:val="003A4993"/>
    <w:rsid w:val="003A5EAC"/>
    <w:rsid w:val="003A6DF5"/>
    <w:rsid w:val="003A7BEC"/>
    <w:rsid w:val="003B525E"/>
    <w:rsid w:val="003C2228"/>
    <w:rsid w:val="003D0C55"/>
    <w:rsid w:val="003D3525"/>
    <w:rsid w:val="003E08A5"/>
    <w:rsid w:val="003E1B24"/>
    <w:rsid w:val="003E5244"/>
    <w:rsid w:val="003E63C0"/>
    <w:rsid w:val="003F13EA"/>
    <w:rsid w:val="003F2DCC"/>
    <w:rsid w:val="003F55A0"/>
    <w:rsid w:val="003F627A"/>
    <w:rsid w:val="003F7283"/>
    <w:rsid w:val="003F77BC"/>
    <w:rsid w:val="00400E92"/>
    <w:rsid w:val="004032D3"/>
    <w:rsid w:val="00404A23"/>
    <w:rsid w:val="00404A88"/>
    <w:rsid w:val="00405064"/>
    <w:rsid w:val="00405301"/>
    <w:rsid w:val="00406133"/>
    <w:rsid w:val="00407ED9"/>
    <w:rsid w:val="00410914"/>
    <w:rsid w:val="004162B1"/>
    <w:rsid w:val="00417088"/>
    <w:rsid w:val="00423894"/>
    <w:rsid w:val="00431A74"/>
    <w:rsid w:val="00435A8B"/>
    <w:rsid w:val="00435C09"/>
    <w:rsid w:val="004405E3"/>
    <w:rsid w:val="00440E39"/>
    <w:rsid w:val="00442E5D"/>
    <w:rsid w:val="00442EE6"/>
    <w:rsid w:val="004435A3"/>
    <w:rsid w:val="004471B6"/>
    <w:rsid w:val="004473D0"/>
    <w:rsid w:val="004579BB"/>
    <w:rsid w:val="00457AEB"/>
    <w:rsid w:val="00457BAF"/>
    <w:rsid w:val="0046098C"/>
    <w:rsid w:val="00465AA8"/>
    <w:rsid w:val="00466E9E"/>
    <w:rsid w:val="004700B4"/>
    <w:rsid w:val="004703DB"/>
    <w:rsid w:val="0047041E"/>
    <w:rsid w:val="00474190"/>
    <w:rsid w:val="00475BBE"/>
    <w:rsid w:val="00476F13"/>
    <w:rsid w:val="00477027"/>
    <w:rsid w:val="004770A6"/>
    <w:rsid w:val="004801A0"/>
    <w:rsid w:val="0048089D"/>
    <w:rsid w:val="004809E2"/>
    <w:rsid w:val="004815EB"/>
    <w:rsid w:val="004869FD"/>
    <w:rsid w:val="00490331"/>
    <w:rsid w:val="0049043E"/>
    <w:rsid w:val="00490533"/>
    <w:rsid w:val="00494314"/>
    <w:rsid w:val="004947BE"/>
    <w:rsid w:val="00495865"/>
    <w:rsid w:val="00496F38"/>
    <w:rsid w:val="00497E4E"/>
    <w:rsid w:val="004A0465"/>
    <w:rsid w:val="004B37F6"/>
    <w:rsid w:val="004B45D5"/>
    <w:rsid w:val="004C1CE7"/>
    <w:rsid w:val="004C6812"/>
    <w:rsid w:val="004D2D34"/>
    <w:rsid w:val="004E0424"/>
    <w:rsid w:val="004E216E"/>
    <w:rsid w:val="004F1155"/>
    <w:rsid w:val="004F15A7"/>
    <w:rsid w:val="004F283E"/>
    <w:rsid w:val="004F31F2"/>
    <w:rsid w:val="00500C96"/>
    <w:rsid w:val="0050379C"/>
    <w:rsid w:val="00503E48"/>
    <w:rsid w:val="005074BD"/>
    <w:rsid w:val="00512490"/>
    <w:rsid w:val="00512602"/>
    <w:rsid w:val="00512F02"/>
    <w:rsid w:val="00514353"/>
    <w:rsid w:val="0051463D"/>
    <w:rsid w:val="00514666"/>
    <w:rsid w:val="00517872"/>
    <w:rsid w:val="00524367"/>
    <w:rsid w:val="00530F23"/>
    <w:rsid w:val="00532496"/>
    <w:rsid w:val="00535ADF"/>
    <w:rsid w:val="00536930"/>
    <w:rsid w:val="00536986"/>
    <w:rsid w:val="00540DD8"/>
    <w:rsid w:val="0054239E"/>
    <w:rsid w:val="005427AF"/>
    <w:rsid w:val="00546EE4"/>
    <w:rsid w:val="00550C42"/>
    <w:rsid w:val="00552571"/>
    <w:rsid w:val="005560EC"/>
    <w:rsid w:val="00560DB6"/>
    <w:rsid w:val="00562A63"/>
    <w:rsid w:val="0056388C"/>
    <w:rsid w:val="00564E53"/>
    <w:rsid w:val="00565DA1"/>
    <w:rsid w:val="00571BEC"/>
    <w:rsid w:val="005752A6"/>
    <w:rsid w:val="00575E2B"/>
    <w:rsid w:val="0058374A"/>
    <w:rsid w:val="00595FCA"/>
    <w:rsid w:val="005A3104"/>
    <w:rsid w:val="005A3C19"/>
    <w:rsid w:val="005A60C4"/>
    <w:rsid w:val="005B096D"/>
    <w:rsid w:val="005B1AAA"/>
    <w:rsid w:val="005B6792"/>
    <w:rsid w:val="005C20AE"/>
    <w:rsid w:val="005D2741"/>
    <w:rsid w:val="005D5659"/>
    <w:rsid w:val="005D6138"/>
    <w:rsid w:val="005E51DB"/>
    <w:rsid w:val="005E69A4"/>
    <w:rsid w:val="005F118F"/>
    <w:rsid w:val="005F6320"/>
    <w:rsid w:val="005F6A25"/>
    <w:rsid w:val="005F763D"/>
    <w:rsid w:val="00600C20"/>
    <w:rsid w:val="00600D5D"/>
    <w:rsid w:val="0060101B"/>
    <w:rsid w:val="00602295"/>
    <w:rsid w:val="00614C4D"/>
    <w:rsid w:val="00620115"/>
    <w:rsid w:val="00623806"/>
    <w:rsid w:val="00624B0B"/>
    <w:rsid w:val="00624BAA"/>
    <w:rsid w:val="00626E04"/>
    <w:rsid w:val="00627E30"/>
    <w:rsid w:val="00630F87"/>
    <w:rsid w:val="006310F1"/>
    <w:rsid w:val="00637C14"/>
    <w:rsid w:val="00640A35"/>
    <w:rsid w:val="00640EC3"/>
    <w:rsid w:val="0064183D"/>
    <w:rsid w:val="00642DF2"/>
    <w:rsid w:val="00642F86"/>
    <w:rsid w:val="00644FE2"/>
    <w:rsid w:val="00646919"/>
    <w:rsid w:val="00646950"/>
    <w:rsid w:val="00650BFB"/>
    <w:rsid w:val="006510E0"/>
    <w:rsid w:val="006528B2"/>
    <w:rsid w:val="00657BDB"/>
    <w:rsid w:val="00660A1E"/>
    <w:rsid w:val="00660BAE"/>
    <w:rsid w:val="00670CF2"/>
    <w:rsid w:val="00672FF3"/>
    <w:rsid w:val="006743FE"/>
    <w:rsid w:val="00675838"/>
    <w:rsid w:val="0067640C"/>
    <w:rsid w:val="006767D9"/>
    <w:rsid w:val="00692649"/>
    <w:rsid w:val="00694AD9"/>
    <w:rsid w:val="006A271A"/>
    <w:rsid w:val="006B292D"/>
    <w:rsid w:val="006B54AE"/>
    <w:rsid w:val="006B6BAD"/>
    <w:rsid w:val="006B7EE8"/>
    <w:rsid w:val="006C4ABE"/>
    <w:rsid w:val="006C4CF1"/>
    <w:rsid w:val="006D1A9A"/>
    <w:rsid w:val="006D2CFB"/>
    <w:rsid w:val="006E0E7B"/>
    <w:rsid w:val="006E2ABF"/>
    <w:rsid w:val="006E2AD9"/>
    <w:rsid w:val="006E667D"/>
    <w:rsid w:val="006E678B"/>
    <w:rsid w:val="006E6DEB"/>
    <w:rsid w:val="006F5295"/>
    <w:rsid w:val="00700680"/>
    <w:rsid w:val="00703F6B"/>
    <w:rsid w:val="00705CA8"/>
    <w:rsid w:val="00712323"/>
    <w:rsid w:val="00714AF2"/>
    <w:rsid w:val="0071778F"/>
    <w:rsid w:val="00722B8D"/>
    <w:rsid w:val="00730F34"/>
    <w:rsid w:val="00731085"/>
    <w:rsid w:val="00732403"/>
    <w:rsid w:val="0073384A"/>
    <w:rsid w:val="00734B19"/>
    <w:rsid w:val="00737F35"/>
    <w:rsid w:val="00740121"/>
    <w:rsid w:val="00740711"/>
    <w:rsid w:val="00743619"/>
    <w:rsid w:val="007438B3"/>
    <w:rsid w:val="0074390F"/>
    <w:rsid w:val="0076143E"/>
    <w:rsid w:val="0076330C"/>
    <w:rsid w:val="00764DF4"/>
    <w:rsid w:val="0077003F"/>
    <w:rsid w:val="00771119"/>
    <w:rsid w:val="00772534"/>
    <w:rsid w:val="007757F3"/>
    <w:rsid w:val="007762B9"/>
    <w:rsid w:val="007771BE"/>
    <w:rsid w:val="00783836"/>
    <w:rsid w:val="007841DD"/>
    <w:rsid w:val="00794608"/>
    <w:rsid w:val="007A0FE4"/>
    <w:rsid w:val="007A47AB"/>
    <w:rsid w:val="007A630D"/>
    <w:rsid w:val="007B47F9"/>
    <w:rsid w:val="007B757C"/>
    <w:rsid w:val="007B7F25"/>
    <w:rsid w:val="007C0B5D"/>
    <w:rsid w:val="007C5E3B"/>
    <w:rsid w:val="007C7721"/>
    <w:rsid w:val="007E30A2"/>
    <w:rsid w:val="007E353D"/>
    <w:rsid w:val="007E3C3B"/>
    <w:rsid w:val="007E6AEB"/>
    <w:rsid w:val="007F52D1"/>
    <w:rsid w:val="00804322"/>
    <w:rsid w:val="0081451B"/>
    <w:rsid w:val="00814EF7"/>
    <w:rsid w:val="00823411"/>
    <w:rsid w:val="0082373C"/>
    <w:rsid w:val="00826C14"/>
    <w:rsid w:val="0082774E"/>
    <w:rsid w:val="008367A4"/>
    <w:rsid w:val="00843B03"/>
    <w:rsid w:val="008478D1"/>
    <w:rsid w:val="0085006B"/>
    <w:rsid w:val="00852C23"/>
    <w:rsid w:val="00853342"/>
    <w:rsid w:val="0085436D"/>
    <w:rsid w:val="00857995"/>
    <w:rsid w:val="00857A18"/>
    <w:rsid w:val="00861AFC"/>
    <w:rsid w:val="00864284"/>
    <w:rsid w:val="00866BFF"/>
    <w:rsid w:val="00873555"/>
    <w:rsid w:val="0087523E"/>
    <w:rsid w:val="00877AEF"/>
    <w:rsid w:val="008813F1"/>
    <w:rsid w:val="00881DA9"/>
    <w:rsid w:val="008825E3"/>
    <w:rsid w:val="0088457E"/>
    <w:rsid w:val="00891D78"/>
    <w:rsid w:val="008973EE"/>
    <w:rsid w:val="008A1DC6"/>
    <w:rsid w:val="008A2DF9"/>
    <w:rsid w:val="008A3324"/>
    <w:rsid w:val="008A351F"/>
    <w:rsid w:val="008A4E0D"/>
    <w:rsid w:val="008B0F12"/>
    <w:rsid w:val="008B52E8"/>
    <w:rsid w:val="008B5C2A"/>
    <w:rsid w:val="008B6322"/>
    <w:rsid w:val="008B6590"/>
    <w:rsid w:val="008C0C23"/>
    <w:rsid w:val="008C15F5"/>
    <w:rsid w:val="008C1B99"/>
    <w:rsid w:val="008C44D9"/>
    <w:rsid w:val="008C70B9"/>
    <w:rsid w:val="008D060A"/>
    <w:rsid w:val="008D4EA9"/>
    <w:rsid w:val="008D74EB"/>
    <w:rsid w:val="008E6797"/>
    <w:rsid w:val="008E7155"/>
    <w:rsid w:val="008F045B"/>
    <w:rsid w:val="008F075F"/>
    <w:rsid w:val="008F20C1"/>
    <w:rsid w:val="008F440F"/>
    <w:rsid w:val="008F45AD"/>
    <w:rsid w:val="008F5DD9"/>
    <w:rsid w:val="00901FD0"/>
    <w:rsid w:val="009030F0"/>
    <w:rsid w:val="0091425C"/>
    <w:rsid w:val="00914A41"/>
    <w:rsid w:val="00916C2F"/>
    <w:rsid w:val="00920F82"/>
    <w:rsid w:val="00921890"/>
    <w:rsid w:val="009219CE"/>
    <w:rsid w:val="00923985"/>
    <w:rsid w:val="00923F7D"/>
    <w:rsid w:val="0092588E"/>
    <w:rsid w:val="00927E16"/>
    <w:rsid w:val="009301FB"/>
    <w:rsid w:val="009372E6"/>
    <w:rsid w:val="0094079F"/>
    <w:rsid w:val="009421F1"/>
    <w:rsid w:val="009579F8"/>
    <w:rsid w:val="00957A9A"/>
    <w:rsid w:val="00960D4B"/>
    <w:rsid w:val="0096316A"/>
    <w:rsid w:val="0096354F"/>
    <w:rsid w:val="0096416E"/>
    <w:rsid w:val="0096519A"/>
    <w:rsid w:val="0096706E"/>
    <w:rsid w:val="00971600"/>
    <w:rsid w:val="00972CEB"/>
    <w:rsid w:val="00977928"/>
    <w:rsid w:val="00984A26"/>
    <w:rsid w:val="00985916"/>
    <w:rsid w:val="00992434"/>
    <w:rsid w:val="00992B54"/>
    <w:rsid w:val="00993047"/>
    <w:rsid w:val="009941A3"/>
    <w:rsid w:val="00995B6D"/>
    <w:rsid w:val="009973B4"/>
    <w:rsid w:val="00997F6E"/>
    <w:rsid w:val="009A42E5"/>
    <w:rsid w:val="009B1973"/>
    <w:rsid w:val="009C28C1"/>
    <w:rsid w:val="009D0EBD"/>
    <w:rsid w:val="009D2C81"/>
    <w:rsid w:val="009E10ED"/>
    <w:rsid w:val="009E21C1"/>
    <w:rsid w:val="009E40C4"/>
    <w:rsid w:val="009E4D01"/>
    <w:rsid w:val="009E5317"/>
    <w:rsid w:val="009E5DF1"/>
    <w:rsid w:val="009E6982"/>
    <w:rsid w:val="009F1519"/>
    <w:rsid w:val="009F1AF9"/>
    <w:rsid w:val="009F1CA7"/>
    <w:rsid w:val="009F1D2D"/>
    <w:rsid w:val="009F6343"/>
    <w:rsid w:val="009F68CA"/>
    <w:rsid w:val="009F73EE"/>
    <w:rsid w:val="009F7EED"/>
    <w:rsid w:val="00A040B8"/>
    <w:rsid w:val="00A04218"/>
    <w:rsid w:val="00A048A2"/>
    <w:rsid w:val="00A106A4"/>
    <w:rsid w:val="00A12A44"/>
    <w:rsid w:val="00A14097"/>
    <w:rsid w:val="00A14291"/>
    <w:rsid w:val="00A14938"/>
    <w:rsid w:val="00A21124"/>
    <w:rsid w:val="00A2262E"/>
    <w:rsid w:val="00A239DA"/>
    <w:rsid w:val="00A25CFE"/>
    <w:rsid w:val="00A30DF6"/>
    <w:rsid w:val="00A30E03"/>
    <w:rsid w:val="00A33D6F"/>
    <w:rsid w:val="00A41C8A"/>
    <w:rsid w:val="00A43028"/>
    <w:rsid w:val="00A447C6"/>
    <w:rsid w:val="00A45D9E"/>
    <w:rsid w:val="00A50FA2"/>
    <w:rsid w:val="00A512A3"/>
    <w:rsid w:val="00A5342F"/>
    <w:rsid w:val="00A61C46"/>
    <w:rsid w:val="00A6210C"/>
    <w:rsid w:val="00A678F4"/>
    <w:rsid w:val="00A70B17"/>
    <w:rsid w:val="00A75E28"/>
    <w:rsid w:val="00A7783C"/>
    <w:rsid w:val="00A80636"/>
    <w:rsid w:val="00A81097"/>
    <w:rsid w:val="00A81560"/>
    <w:rsid w:val="00A83CB4"/>
    <w:rsid w:val="00A94F96"/>
    <w:rsid w:val="00A96322"/>
    <w:rsid w:val="00AA4898"/>
    <w:rsid w:val="00AB1C3E"/>
    <w:rsid w:val="00AC685D"/>
    <w:rsid w:val="00AD424E"/>
    <w:rsid w:val="00AD581B"/>
    <w:rsid w:val="00AE11D9"/>
    <w:rsid w:val="00AE150E"/>
    <w:rsid w:val="00AE22D2"/>
    <w:rsid w:val="00AE490A"/>
    <w:rsid w:val="00AF0AAB"/>
    <w:rsid w:val="00AF5B3D"/>
    <w:rsid w:val="00AF6B00"/>
    <w:rsid w:val="00AF6EA5"/>
    <w:rsid w:val="00B039D1"/>
    <w:rsid w:val="00B06544"/>
    <w:rsid w:val="00B07ABF"/>
    <w:rsid w:val="00B07ECD"/>
    <w:rsid w:val="00B134A2"/>
    <w:rsid w:val="00B13582"/>
    <w:rsid w:val="00B16FE9"/>
    <w:rsid w:val="00B20444"/>
    <w:rsid w:val="00B21132"/>
    <w:rsid w:val="00B24B4D"/>
    <w:rsid w:val="00B25D5E"/>
    <w:rsid w:val="00B306CF"/>
    <w:rsid w:val="00B33278"/>
    <w:rsid w:val="00B340E5"/>
    <w:rsid w:val="00B3643B"/>
    <w:rsid w:val="00B36C72"/>
    <w:rsid w:val="00B44E2B"/>
    <w:rsid w:val="00B471B9"/>
    <w:rsid w:val="00B47E78"/>
    <w:rsid w:val="00B504A8"/>
    <w:rsid w:val="00B52670"/>
    <w:rsid w:val="00B63B5A"/>
    <w:rsid w:val="00B64629"/>
    <w:rsid w:val="00B705BC"/>
    <w:rsid w:val="00B718AA"/>
    <w:rsid w:val="00B73540"/>
    <w:rsid w:val="00B750E4"/>
    <w:rsid w:val="00B76A20"/>
    <w:rsid w:val="00B770CB"/>
    <w:rsid w:val="00B77922"/>
    <w:rsid w:val="00B802B1"/>
    <w:rsid w:val="00B821B3"/>
    <w:rsid w:val="00B82832"/>
    <w:rsid w:val="00B829CD"/>
    <w:rsid w:val="00B84C36"/>
    <w:rsid w:val="00B86650"/>
    <w:rsid w:val="00BB54B1"/>
    <w:rsid w:val="00BB5628"/>
    <w:rsid w:val="00BB5AE7"/>
    <w:rsid w:val="00BB60AE"/>
    <w:rsid w:val="00BC00E8"/>
    <w:rsid w:val="00BC1A29"/>
    <w:rsid w:val="00BC3F41"/>
    <w:rsid w:val="00BC4DE3"/>
    <w:rsid w:val="00BC6FF9"/>
    <w:rsid w:val="00BE01CA"/>
    <w:rsid w:val="00BE5D6E"/>
    <w:rsid w:val="00BE5E52"/>
    <w:rsid w:val="00BE63F9"/>
    <w:rsid w:val="00BF047C"/>
    <w:rsid w:val="00BF202C"/>
    <w:rsid w:val="00BF2519"/>
    <w:rsid w:val="00BF55C1"/>
    <w:rsid w:val="00BF597E"/>
    <w:rsid w:val="00BF76CD"/>
    <w:rsid w:val="00C01B85"/>
    <w:rsid w:val="00C0590C"/>
    <w:rsid w:val="00C069FA"/>
    <w:rsid w:val="00C13843"/>
    <w:rsid w:val="00C165D4"/>
    <w:rsid w:val="00C21D4B"/>
    <w:rsid w:val="00C247DF"/>
    <w:rsid w:val="00C30DF0"/>
    <w:rsid w:val="00C31F46"/>
    <w:rsid w:val="00C3776D"/>
    <w:rsid w:val="00C46201"/>
    <w:rsid w:val="00C46B3D"/>
    <w:rsid w:val="00C5049C"/>
    <w:rsid w:val="00C51A36"/>
    <w:rsid w:val="00C51F68"/>
    <w:rsid w:val="00C531E1"/>
    <w:rsid w:val="00C55228"/>
    <w:rsid w:val="00C55B81"/>
    <w:rsid w:val="00C57431"/>
    <w:rsid w:val="00C608B4"/>
    <w:rsid w:val="00C67F3E"/>
    <w:rsid w:val="00C7045F"/>
    <w:rsid w:val="00C711BC"/>
    <w:rsid w:val="00C7134F"/>
    <w:rsid w:val="00C71E3A"/>
    <w:rsid w:val="00C733EC"/>
    <w:rsid w:val="00C73798"/>
    <w:rsid w:val="00C742BA"/>
    <w:rsid w:val="00C77C09"/>
    <w:rsid w:val="00C85C5F"/>
    <w:rsid w:val="00C86655"/>
    <w:rsid w:val="00C915B8"/>
    <w:rsid w:val="00C925A3"/>
    <w:rsid w:val="00C9295A"/>
    <w:rsid w:val="00C96D69"/>
    <w:rsid w:val="00CA50CB"/>
    <w:rsid w:val="00CB07DD"/>
    <w:rsid w:val="00CB21D6"/>
    <w:rsid w:val="00CB6BF2"/>
    <w:rsid w:val="00CB753A"/>
    <w:rsid w:val="00CC7965"/>
    <w:rsid w:val="00CD2260"/>
    <w:rsid w:val="00CD3F50"/>
    <w:rsid w:val="00CD5F97"/>
    <w:rsid w:val="00CE0DEE"/>
    <w:rsid w:val="00CE315A"/>
    <w:rsid w:val="00CF2E95"/>
    <w:rsid w:val="00CF6097"/>
    <w:rsid w:val="00CF69FC"/>
    <w:rsid w:val="00CF6BB7"/>
    <w:rsid w:val="00CF7799"/>
    <w:rsid w:val="00D0416C"/>
    <w:rsid w:val="00D06819"/>
    <w:rsid w:val="00D06F59"/>
    <w:rsid w:val="00D13BEC"/>
    <w:rsid w:val="00D13FEA"/>
    <w:rsid w:val="00D20AA7"/>
    <w:rsid w:val="00D222C3"/>
    <w:rsid w:val="00D2351C"/>
    <w:rsid w:val="00D26434"/>
    <w:rsid w:val="00D26AB8"/>
    <w:rsid w:val="00D33F60"/>
    <w:rsid w:val="00D3544B"/>
    <w:rsid w:val="00D359E4"/>
    <w:rsid w:val="00D3683B"/>
    <w:rsid w:val="00D37862"/>
    <w:rsid w:val="00D37979"/>
    <w:rsid w:val="00D42FBD"/>
    <w:rsid w:val="00D43A1B"/>
    <w:rsid w:val="00D503EB"/>
    <w:rsid w:val="00D51302"/>
    <w:rsid w:val="00D57A07"/>
    <w:rsid w:val="00D57D46"/>
    <w:rsid w:val="00D60F82"/>
    <w:rsid w:val="00D61379"/>
    <w:rsid w:val="00D64E4B"/>
    <w:rsid w:val="00D67E26"/>
    <w:rsid w:val="00D7291B"/>
    <w:rsid w:val="00D83421"/>
    <w:rsid w:val="00D8388C"/>
    <w:rsid w:val="00D850AA"/>
    <w:rsid w:val="00D91918"/>
    <w:rsid w:val="00D93BFA"/>
    <w:rsid w:val="00D94084"/>
    <w:rsid w:val="00D97805"/>
    <w:rsid w:val="00DA198A"/>
    <w:rsid w:val="00DA35E9"/>
    <w:rsid w:val="00DA547C"/>
    <w:rsid w:val="00DB2443"/>
    <w:rsid w:val="00DB3E3F"/>
    <w:rsid w:val="00DB5622"/>
    <w:rsid w:val="00DB6C0D"/>
    <w:rsid w:val="00DC201E"/>
    <w:rsid w:val="00DC2056"/>
    <w:rsid w:val="00DC2993"/>
    <w:rsid w:val="00DC38BE"/>
    <w:rsid w:val="00DC5FCF"/>
    <w:rsid w:val="00DD09CD"/>
    <w:rsid w:val="00DD09D1"/>
    <w:rsid w:val="00DD2E18"/>
    <w:rsid w:val="00DD35E1"/>
    <w:rsid w:val="00DE2B8E"/>
    <w:rsid w:val="00DE321D"/>
    <w:rsid w:val="00DE6D81"/>
    <w:rsid w:val="00DF1543"/>
    <w:rsid w:val="00DF798B"/>
    <w:rsid w:val="00E00362"/>
    <w:rsid w:val="00E03C12"/>
    <w:rsid w:val="00E054C1"/>
    <w:rsid w:val="00E057F8"/>
    <w:rsid w:val="00E07027"/>
    <w:rsid w:val="00E13844"/>
    <w:rsid w:val="00E153C8"/>
    <w:rsid w:val="00E24147"/>
    <w:rsid w:val="00E26EF2"/>
    <w:rsid w:val="00E27414"/>
    <w:rsid w:val="00E30EB2"/>
    <w:rsid w:val="00E310AF"/>
    <w:rsid w:val="00E33A68"/>
    <w:rsid w:val="00E35D7E"/>
    <w:rsid w:val="00E4175B"/>
    <w:rsid w:val="00E421D2"/>
    <w:rsid w:val="00E434CF"/>
    <w:rsid w:val="00E453C3"/>
    <w:rsid w:val="00E50C61"/>
    <w:rsid w:val="00E54AA1"/>
    <w:rsid w:val="00E6224C"/>
    <w:rsid w:val="00E67D81"/>
    <w:rsid w:val="00E67F6B"/>
    <w:rsid w:val="00E73591"/>
    <w:rsid w:val="00E75E3C"/>
    <w:rsid w:val="00E8036C"/>
    <w:rsid w:val="00E829B5"/>
    <w:rsid w:val="00E90FE1"/>
    <w:rsid w:val="00E9127E"/>
    <w:rsid w:val="00E96B36"/>
    <w:rsid w:val="00E971DA"/>
    <w:rsid w:val="00E97A1F"/>
    <w:rsid w:val="00E97B40"/>
    <w:rsid w:val="00EA0A76"/>
    <w:rsid w:val="00EA2937"/>
    <w:rsid w:val="00EA40AA"/>
    <w:rsid w:val="00EA540A"/>
    <w:rsid w:val="00EA6FEB"/>
    <w:rsid w:val="00EB0164"/>
    <w:rsid w:val="00EB1EB8"/>
    <w:rsid w:val="00EB3BA4"/>
    <w:rsid w:val="00EB42B2"/>
    <w:rsid w:val="00EB4E3E"/>
    <w:rsid w:val="00EB7920"/>
    <w:rsid w:val="00EC08C4"/>
    <w:rsid w:val="00EC12D3"/>
    <w:rsid w:val="00EC2065"/>
    <w:rsid w:val="00EC4F54"/>
    <w:rsid w:val="00EC54CC"/>
    <w:rsid w:val="00EC6740"/>
    <w:rsid w:val="00ED0F62"/>
    <w:rsid w:val="00ED61A2"/>
    <w:rsid w:val="00ED72A9"/>
    <w:rsid w:val="00ED763A"/>
    <w:rsid w:val="00EE1CFD"/>
    <w:rsid w:val="00EE2282"/>
    <w:rsid w:val="00EE418A"/>
    <w:rsid w:val="00EE5950"/>
    <w:rsid w:val="00EF3FB8"/>
    <w:rsid w:val="00EF5760"/>
    <w:rsid w:val="00F00235"/>
    <w:rsid w:val="00F00BAC"/>
    <w:rsid w:val="00F041F2"/>
    <w:rsid w:val="00F04272"/>
    <w:rsid w:val="00F05042"/>
    <w:rsid w:val="00F100FA"/>
    <w:rsid w:val="00F1248C"/>
    <w:rsid w:val="00F20D0C"/>
    <w:rsid w:val="00F253E7"/>
    <w:rsid w:val="00F25D6F"/>
    <w:rsid w:val="00F27ABC"/>
    <w:rsid w:val="00F419CC"/>
    <w:rsid w:val="00F43AD3"/>
    <w:rsid w:val="00F45FEE"/>
    <w:rsid w:val="00F52CE0"/>
    <w:rsid w:val="00F52CEC"/>
    <w:rsid w:val="00F5462E"/>
    <w:rsid w:val="00F57872"/>
    <w:rsid w:val="00F60D1F"/>
    <w:rsid w:val="00F6272A"/>
    <w:rsid w:val="00F66C2F"/>
    <w:rsid w:val="00F7337B"/>
    <w:rsid w:val="00F73AB0"/>
    <w:rsid w:val="00F743BE"/>
    <w:rsid w:val="00F749EA"/>
    <w:rsid w:val="00F75B43"/>
    <w:rsid w:val="00F768C5"/>
    <w:rsid w:val="00F77DFF"/>
    <w:rsid w:val="00F77FA7"/>
    <w:rsid w:val="00F81AA1"/>
    <w:rsid w:val="00F81D47"/>
    <w:rsid w:val="00F83556"/>
    <w:rsid w:val="00F8360E"/>
    <w:rsid w:val="00F85AF1"/>
    <w:rsid w:val="00F875DC"/>
    <w:rsid w:val="00F933FF"/>
    <w:rsid w:val="00F97461"/>
    <w:rsid w:val="00FA55EC"/>
    <w:rsid w:val="00FA6B05"/>
    <w:rsid w:val="00FC0249"/>
    <w:rsid w:val="00FC19F2"/>
    <w:rsid w:val="00FC32FF"/>
    <w:rsid w:val="00FC3A47"/>
    <w:rsid w:val="00FC743C"/>
    <w:rsid w:val="00FD0A28"/>
    <w:rsid w:val="00FD1889"/>
    <w:rsid w:val="00FD37F2"/>
    <w:rsid w:val="00FD7D89"/>
    <w:rsid w:val="00FE0BCB"/>
    <w:rsid w:val="00FE475B"/>
    <w:rsid w:val="00FE4E16"/>
    <w:rsid w:val="00FE50AF"/>
    <w:rsid w:val="00FE5D46"/>
    <w:rsid w:val="00FF198D"/>
    <w:rsid w:val="00FF2F0C"/>
    <w:rsid w:val="00FF32ED"/>
    <w:rsid w:val="00FF3D9B"/>
    <w:rsid w:val="00FF5E73"/>
    <w:rsid w:val="00FF73A0"/>
    <w:rsid w:val="00FF762E"/>
    <w:rsid w:val="0C842313"/>
    <w:rsid w:val="108219C2"/>
    <w:rsid w:val="21F004E8"/>
    <w:rsid w:val="32E75049"/>
    <w:rsid w:val="47C15971"/>
    <w:rsid w:val="5C45716F"/>
    <w:rsid w:val="5EA12B9A"/>
    <w:rsid w:val="6A0C3D41"/>
    <w:rsid w:val="7FE57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qFormat/>
    <w:uiPriority w:val="99"/>
    <w:pPr>
      <w:spacing w:after="120"/>
      <w:ind w:left="420" w:leftChars="200"/>
    </w:pPr>
  </w:style>
  <w:style w:type="paragraph" w:styleId="3">
    <w:name w:val="Plain Text"/>
    <w:basedOn w:val="1"/>
    <w:link w:val="19"/>
    <w:unhideWhenUsed/>
    <w:qFormat/>
    <w:uiPriority w:val="0"/>
    <w:rPr>
      <w:rFonts w:ascii="宋体" w:hAnsi="Courier New"/>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2"/>
    <w:link w:val="17"/>
    <w:qFormat/>
    <w:uiPriority w:val="0"/>
    <w:pPr>
      <w:spacing w:after="0"/>
      <w:ind w:left="0" w:leftChars="0" w:firstLine="420" w:firstLineChars="200"/>
      <w:jc w:val="left"/>
    </w:pPr>
    <w:rPr>
      <w:rFonts w:ascii="宋体" w:hAnsi="宋体" w:eastAsia="仿宋_GB2312"/>
      <w:color w:val="000000"/>
      <w:sz w:val="28"/>
    </w:r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正文文本缩进 Char"/>
    <w:basedOn w:val="10"/>
    <w:link w:val="2"/>
    <w:semiHidden/>
    <w:qFormat/>
    <w:uiPriority w:val="99"/>
    <w:rPr>
      <w:rFonts w:ascii="Times New Roman" w:hAnsi="Times New Roman" w:eastAsia="宋体" w:cs="Times New Roman"/>
      <w:kern w:val="2"/>
      <w:sz w:val="21"/>
    </w:rPr>
  </w:style>
  <w:style w:type="character" w:customStyle="1" w:styleId="17">
    <w:name w:val="正文首行缩进 2 Char"/>
    <w:basedOn w:val="16"/>
    <w:link w:val="8"/>
    <w:qFormat/>
    <w:uiPriority w:val="0"/>
    <w:rPr>
      <w:rFonts w:ascii="宋体" w:hAnsi="宋体" w:eastAsia="仿宋_GB2312"/>
      <w:color w:val="000000"/>
      <w:sz w:val="28"/>
    </w:rPr>
  </w:style>
  <w:style w:type="paragraph" w:customStyle="1" w:styleId="18">
    <w:name w:val="表格文字"/>
    <w:basedOn w:val="1"/>
    <w:qFormat/>
    <w:uiPriority w:val="0"/>
    <w:pPr>
      <w:spacing w:before="25" w:after="25"/>
    </w:pPr>
    <w:rPr>
      <w:bCs/>
      <w:spacing w:val="10"/>
    </w:rPr>
  </w:style>
  <w:style w:type="character" w:customStyle="1" w:styleId="19">
    <w:name w:val="纯文本 Char"/>
    <w:basedOn w:val="10"/>
    <w:link w:val="3"/>
    <w:qFormat/>
    <w:uiPriority w:val="0"/>
    <w:rPr>
      <w:rFonts w:ascii="宋体" w:hAnsi="Courier New" w:eastAsia="宋体" w:cs="Times New Roman"/>
      <w:kern w:val="2"/>
      <w:sz w:val="21"/>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7F081-7B5C-47A9-ABE2-0705544D769F}">
  <ds:schemaRefs/>
</ds:datastoreItem>
</file>

<file path=docProps/app.xml><?xml version="1.0" encoding="utf-8"?>
<Properties xmlns="http://schemas.openxmlformats.org/officeDocument/2006/extended-properties" xmlns:vt="http://schemas.openxmlformats.org/officeDocument/2006/docPropsVTypes">
  <Template>Normal</Template>
  <Pages>30</Pages>
  <Words>3010</Words>
  <Characters>17161</Characters>
  <Lines>143</Lines>
  <Paragraphs>40</Paragraphs>
  <TotalTime>5</TotalTime>
  <ScaleCrop>false</ScaleCrop>
  <LinksUpToDate>false</LinksUpToDate>
  <CharactersWithSpaces>20131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2020-12-25T08:48:18Z</dcterms:modified>
  <cp:revision>841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