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7"/>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受审核部门：管理层  主管领导：</w:t>
            </w:r>
            <w:r>
              <w:rPr>
                <w:rFonts w:hint="eastAsia" w:ascii="楷体" w:hAnsi="楷体" w:eastAsia="楷体"/>
                <w:sz w:val="24"/>
                <w:szCs w:val="24"/>
                <w:lang w:val="en-US" w:eastAsia="zh-CN"/>
              </w:rPr>
              <w:t>周承荣、邱远龙</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韩玉香</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ascii="楷体" w:hAnsi="楷体" w:eastAsia="楷体"/>
                <w:sz w:val="24"/>
                <w:szCs w:val="24"/>
              </w:rPr>
              <w:t xml:space="preserve">    </w:t>
            </w:r>
            <w:r>
              <w:rPr>
                <w:rFonts w:hint="eastAsia" w:ascii="楷体" w:hAnsi="楷体" w:eastAsia="楷体"/>
                <w:sz w:val="24"/>
                <w:szCs w:val="24"/>
              </w:rPr>
              <w:t>审核时间：</w:t>
            </w:r>
            <w:r>
              <w:rPr>
                <w:rFonts w:hint="eastAsia" w:ascii="楷体" w:hAnsi="楷体" w:eastAsia="楷体"/>
                <w:sz w:val="24"/>
                <w:szCs w:val="24"/>
                <w:lang w:val="en-US" w:eastAsia="zh-CN"/>
              </w:rPr>
              <w:t>2020.12.19</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spacing w:line="320" w:lineRule="exact"/>
              <w:ind w:right="105" w:rightChars="50"/>
              <w:textAlignment w:val="baseline"/>
              <w:rPr>
                <w:rFonts w:hint="eastAsia" w:ascii="楷体" w:hAnsi="楷体" w:eastAsia="楷体" w:cs="楷体"/>
                <w:spacing w:val="-6"/>
                <w:sz w:val="21"/>
                <w:szCs w:val="21"/>
              </w:rPr>
            </w:pPr>
            <w:r>
              <w:rPr>
                <w:rFonts w:hint="eastAsia" w:ascii="楷体" w:hAnsi="楷体" w:eastAsia="楷体"/>
                <w:szCs w:val="21"/>
              </w:rPr>
              <w:t>审核条款：</w:t>
            </w:r>
            <w:r>
              <w:rPr>
                <w:rFonts w:hint="eastAsia" w:ascii="楷体" w:hAnsi="楷体" w:eastAsia="楷体" w:cs="楷体"/>
                <w:spacing w:val="-6"/>
                <w:sz w:val="21"/>
                <w:szCs w:val="21"/>
              </w:rPr>
              <w:t>QEO:4.1理解组织及其环境、4.2理解相关方的需求和期望、4.3 确定管理体系的范围、4.4质量/环境/</w:t>
            </w:r>
            <w:r>
              <w:rPr>
                <w:rFonts w:hint="eastAsia" w:ascii="楷体" w:hAnsi="楷体" w:eastAsia="楷体" w:cs="楷体"/>
                <w:sz w:val="21"/>
                <w:szCs w:val="21"/>
              </w:rPr>
              <w:t>职业健康</w:t>
            </w:r>
            <w:r>
              <w:rPr>
                <w:rFonts w:hint="eastAsia" w:ascii="楷体" w:hAnsi="楷体" w:eastAsia="楷体" w:cs="楷体"/>
                <w:spacing w:val="-6"/>
                <w:sz w:val="21"/>
                <w:szCs w:val="21"/>
              </w:rPr>
              <w:t>安全管理体系及其过程、5.1领导作用和承诺、5.2质量/环境/</w:t>
            </w:r>
            <w:r>
              <w:rPr>
                <w:rFonts w:hint="eastAsia" w:ascii="楷体" w:hAnsi="楷体" w:eastAsia="楷体" w:cs="楷体"/>
                <w:sz w:val="21"/>
                <w:szCs w:val="21"/>
              </w:rPr>
              <w:t>职业健康</w:t>
            </w:r>
            <w:r>
              <w:rPr>
                <w:rFonts w:hint="eastAsia" w:ascii="楷体" w:hAnsi="楷体" w:eastAsia="楷体" w:cs="楷体"/>
                <w:spacing w:val="-6"/>
                <w:sz w:val="21"/>
                <w:szCs w:val="21"/>
              </w:rPr>
              <w:t>安全方针、5.3组织的岗位、职责和权限、O5.4协商与参与、6.1应对风险和机遇的措施、6.2质量/环境/</w:t>
            </w:r>
            <w:r>
              <w:rPr>
                <w:rFonts w:hint="eastAsia" w:ascii="楷体" w:hAnsi="楷体" w:eastAsia="楷体" w:cs="楷体"/>
                <w:sz w:val="21"/>
                <w:szCs w:val="21"/>
              </w:rPr>
              <w:t>职业健康</w:t>
            </w:r>
            <w:r>
              <w:rPr>
                <w:rFonts w:hint="eastAsia" w:ascii="楷体" w:hAnsi="楷体" w:eastAsia="楷体" w:cs="楷体"/>
                <w:spacing w:val="-6"/>
                <w:sz w:val="21"/>
                <w:szCs w:val="21"/>
              </w:rPr>
              <w:t>安全目标及其实现的策划、Q6.3变更的策划、7.1.1（EO7.1）资源总则、7.4沟通/信息交流、9.3管理评审、10.1改进、10.3持续改进，</w:t>
            </w:r>
          </w:p>
          <w:p>
            <w:pPr>
              <w:spacing w:line="320" w:lineRule="exact"/>
              <w:ind w:firstLine="396" w:firstLineChars="200"/>
              <w:rPr>
                <w:rFonts w:hint="eastAsia" w:ascii="楷体" w:hAnsi="楷体" w:eastAsia="楷体" w:cs="楷体"/>
                <w:spacing w:val="-6"/>
                <w:sz w:val="21"/>
                <w:szCs w:val="21"/>
              </w:rPr>
            </w:pPr>
            <w:r>
              <w:rPr>
                <w:rFonts w:hint="eastAsia" w:ascii="楷体" w:hAnsi="楷体" w:eastAsia="楷体" w:cs="楷体"/>
                <w:spacing w:val="-6"/>
                <w:sz w:val="21"/>
                <w:szCs w:val="21"/>
              </w:rPr>
              <w:t>国家/地方监督抽查情况；顾客满意、相关方投诉及处理情况；一阶段问题验证，</w:t>
            </w:r>
          </w:p>
          <w:p>
            <w:pPr>
              <w:rPr>
                <w:rFonts w:ascii="楷体" w:hAnsi="楷体" w:eastAsia="楷体"/>
                <w:szCs w:val="21"/>
              </w:rPr>
            </w:pPr>
            <w:r>
              <w:rPr>
                <w:rFonts w:hint="eastAsia" w:ascii="楷体" w:hAnsi="楷体" w:eastAsia="楷体" w:cs="楷体"/>
                <w:spacing w:val="-6"/>
                <w:sz w:val="21"/>
                <w:szCs w:val="21"/>
              </w:rPr>
              <w:t>验证企业相关资质证明的有效性；</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企业基本信息</w:t>
            </w:r>
          </w:p>
        </w:tc>
        <w:tc>
          <w:tcPr>
            <w:tcW w:w="1311" w:type="dxa"/>
            <w:vAlign w:val="center"/>
          </w:tcPr>
          <w:p>
            <w:pPr>
              <w:spacing w:line="360" w:lineRule="auto"/>
              <w:rPr>
                <w:rFonts w:ascii="楷体" w:hAnsi="楷体" w:eastAsia="楷体"/>
                <w:b/>
                <w:sz w:val="24"/>
                <w:szCs w:val="24"/>
              </w:rPr>
            </w:pP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面谈人员：最管理者</w:t>
            </w:r>
            <w:r>
              <w:rPr>
                <w:rFonts w:hint="eastAsia" w:ascii="楷体" w:hAnsi="楷体" w:eastAsia="楷体"/>
                <w:sz w:val="24"/>
                <w:szCs w:val="24"/>
                <w:lang w:eastAsia="zh-CN"/>
              </w:rPr>
              <w:t>：</w:t>
            </w:r>
            <w:r>
              <w:rPr>
                <w:rFonts w:hint="eastAsia" w:ascii="楷体" w:hAnsi="楷体" w:eastAsia="楷体"/>
                <w:sz w:val="24"/>
                <w:szCs w:val="24"/>
                <w:lang w:val="en-US" w:eastAsia="zh-CN"/>
              </w:rPr>
              <w:t>杨晓敏，</w:t>
            </w:r>
            <w:r>
              <w:rPr>
                <w:rFonts w:hint="eastAsia" w:ascii="楷体" w:hAnsi="楷体" w:eastAsia="楷体"/>
                <w:sz w:val="24"/>
                <w:szCs w:val="24"/>
              </w:rPr>
              <w:t>管代</w:t>
            </w:r>
            <w:r>
              <w:rPr>
                <w:rFonts w:hint="eastAsia" w:ascii="楷体" w:hAnsi="楷体" w:eastAsia="楷体"/>
                <w:sz w:val="24"/>
                <w:szCs w:val="24"/>
                <w:lang w:val="en-US" w:eastAsia="zh-CN"/>
              </w:rPr>
              <w:t>邱远龙</w:t>
            </w:r>
            <w:r>
              <w:rPr>
                <w:rFonts w:hint="eastAsia" w:ascii="楷体" w:hAnsi="楷体" w:eastAsia="楷体"/>
                <w:sz w:val="24"/>
                <w:szCs w:val="24"/>
              </w:rPr>
              <w:t>，</w:t>
            </w:r>
          </w:p>
          <w:p>
            <w:pPr>
              <w:rPr>
                <w:rFonts w:hint="eastAsia" w:ascii="楷体" w:hAnsi="楷体" w:eastAsia="楷体" w:cs="楷体"/>
                <w:spacing w:val="20"/>
                <w:sz w:val="24"/>
                <w:szCs w:val="24"/>
                <w:lang w:val="de-DE"/>
              </w:rPr>
            </w:pPr>
            <w:r>
              <w:rPr>
                <w:rFonts w:hint="eastAsia" w:ascii="楷体" w:hAnsi="楷体" w:eastAsia="楷体"/>
                <w:sz w:val="24"/>
                <w:szCs w:val="24"/>
              </w:rPr>
              <w:t>公司成立于</w:t>
            </w:r>
            <w:r>
              <w:rPr>
                <w:rFonts w:ascii="楷体" w:hAnsi="楷体" w:eastAsia="楷体"/>
                <w:sz w:val="24"/>
                <w:szCs w:val="24"/>
              </w:rPr>
              <w:t>2</w:t>
            </w:r>
            <w:r>
              <w:rPr>
                <w:rFonts w:hint="eastAsia" w:ascii="楷体" w:hAnsi="楷体" w:eastAsia="楷体"/>
                <w:sz w:val="24"/>
                <w:szCs w:val="24"/>
              </w:rPr>
              <w:t>0</w:t>
            </w:r>
            <w:r>
              <w:rPr>
                <w:rFonts w:hint="eastAsia" w:ascii="楷体" w:hAnsi="楷体" w:eastAsia="楷体"/>
                <w:sz w:val="24"/>
                <w:szCs w:val="24"/>
                <w:lang w:val="en-US" w:eastAsia="zh-CN"/>
              </w:rPr>
              <w:t>04</w:t>
            </w:r>
            <w:r>
              <w:rPr>
                <w:rFonts w:hint="eastAsia" w:ascii="楷体" w:hAnsi="楷体" w:eastAsia="楷体"/>
                <w:sz w:val="24"/>
                <w:szCs w:val="24"/>
              </w:rPr>
              <w:t>年</w:t>
            </w:r>
            <w:r>
              <w:rPr>
                <w:rFonts w:hint="eastAsia" w:ascii="楷体" w:hAnsi="楷体" w:eastAsia="楷体"/>
                <w:sz w:val="24"/>
                <w:szCs w:val="24"/>
                <w:lang w:val="en-US" w:eastAsia="zh-CN"/>
              </w:rPr>
              <w:t>8</w:t>
            </w:r>
            <w:r>
              <w:rPr>
                <w:rFonts w:hint="eastAsia" w:ascii="楷体" w:hAnsi="楷体" w:eastAsia="楷体"/>
                <w:sz w:val="24"/>
                <w:szCs w:val="24"/>
              </w:rPr>
              <w:t>月</w:t>
            </w:r>
            <w:r>
              <w:rPr>
                <w:rFonts w:hint="eastAsia" w:ascii="楷体" w:hAnsi="楷体" w:eastAsia="楷体"/>
                <w:sz w:val="24"/>
                <w:szCs w:val="24"/>
                <w:lang w:val="en-US" w:eastAsia="zh-CN"/>
              </w:rPr>
              <w:t>17</w:t>
            </w:r>
            <w:r>
              <w:rPr>
                <w:rFonts w:hint="eastAsia" w:ascii="楷体" w:hAnsi="楷体" w:eastAsia="楷体"/>
                <w:sz w:val="24"/>
                <w:szCs w:val="24"/>
              </w:rPr>
              <w:t>日，法人代表</w:t>
            </w:r>
            <w:r>
              <w:rPr>
                <w:rFonts w:hint="eastAsia" w:ascii="楷体" w:hAnsi="楷体" w:eastAsia="楷体"/>
                <w:sz w:val="24"/>
                <w:szCs w:val="24"/>
                <w:lang w:val="en-US" w:eastAsia="zh-CN"/>
              </w:rPr>
              <w:t>杨晓敏</w:t>
            </w:r>
            <w:r>
              <w:rPr>
                <w:rFonts w:hint="eastAsia" w:ascii="楷体" w:hAnsi="楷体" w:eastAsia="楷体"/>
                <w:sz w:val="24"/>
                <w:szCs w:val="24"/>
              </w:rPr>
              <w:t>，注册地址：</w:t>
            </w:r>
            <w:bookmarkStart w:id="0" w:name="注册地址"/>
            <w:r>
              <w:rPr>
                <w:rFonts w:hint="eastAsia" w:ascii="楷体" w:hAnsi="楷体" w:eastAsia="楷体"/>
                <w:sz w:val="24"/>
                <w:szCs w:val="24"/>
                <w:lang w:val="en-US" w:eastAsia="zh-CN"/>
              </w:rPr>
              <w:t>沙洋县沈集镇荆潜路1</w:t>
            </w:r>
            <w:r>
              <w:rPr>
                <w:rFonts w:hint="eastAsia" w:ascii="楷体" w:hAnsi="楷体" w:eastAsia="楷体" w:cs="楷体"/>
                <w:sz w:val="24"/>
                <w:szCs w:val="24"/>
              </w:rPr>
              <w:t>号</w:t>
            </w:r>
            <w:bookmarkEnd w:id="0"/>
            <w:r>
              <w:rPr>
                <w:rFonts w:hint="eastAsia" w:ascii="楷体" w:hAnsi="楷体" w:eastAsia="楷体" w:cs="楷体"/>
                <w:color w:val="000000"/>
                <w:sz w:val="24"/>
                <w:szCs w:val="24"/>
              </w:rPr>
              <w:t>。</w:t>
            </w:r>
            <w:r>
              <w:rPr>
                <w:rFonts w:hint="eastAsia" w:ascii="楷体" w:hAnsi="楷体" w:eastAsia="楷体" w:cs="楷体"/>
                <w:spacing w:val="20"/>
                <w:sz w:val="24"/>
                <w:szCs w:val="24"/>
                <w:lang w:val="de-DE"/>
              </w:rPr>
              <w:t>经营范围</w:t>
            </w:r>
            <w:r>
              <w:rPr>
                <w:rFonts w:hint="eastAsia" w:ascii="楷体" w:hAnsi="楷体" w:eastAsia="楷体" w:cs="楷体"/>
                <w:sz w:val="24"/>
                <w:szCs w:val="24"/>
              </w:rPr>
              <w:t>塑料编织袋的生产及销售</w:t>
            </w:r>
            <w:r>
              <w:rPr>
                <w:rFonts w:hint="eastAsia" w:ascii="楷体" w:hAnsi="楷体" w:eastAsia="楷体" w:cs="楷体"/>
                <w:spacing w:val="20"/>
                <w:sz w:val="24"/>
                <w:szCs w:val="24"/>
                <w:lang w:val="de-DE"/>
              </w:rPr>
              <w:t>。</w:t>
            </w:r>
          </w:p>
          <w:p>
            <w:pPr>
              <w:spacing w:line="360" w:lineRule="auto"/>
              <w:rPr>
                <w:rFonts w:ascii="楷体" w:hAnsi="楷体" w:eastAsia="楷体"/>
                <w:sz w:val="24"/>
                <w:szCs w:val="24"/>
              </w:rPr>
            </w:pPr>
            <w:r>
              <w:rPr>
                <w:rFonts w:hint="eastAsia" w:ascii="楷体" w:hAnsi="楷体" w:eastAsia="楷体"/>
                <w:spacing w:val="20"/>
                <w:sz w:val="24"/>
                <w:szCs w:val="24"/>
                <w:lang w:val="de-DE"/>
              </w:rPr>
              <w:t>查到了企业的营业执照，经营范围包括了认证范围内产品。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领导作用和承诺、组织的岗位职责和权限</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5.1</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据管代</w:t>
            </w:r>
            <w:r>
              <w:rPr>
                <w:rFonts w:hint="eastAsia" w:ascii="楷体" w:hAnsi="楷体" w:eastAsia="楷体"/>
                <w:sz w:val="24"/>
                <w:szCs w:val="24"/>
                <w:lang w:val="en-US" w:eastAsia="zh-CN"/>
              </w:rPr>
              <w:t>邱远龙</w:t>
            </w:r>
            <w:r>
              <w:rPr>
                <w:rFonts w:hint="eastAsia" w:ascii="楷体" w:hAnsi="楷体" w:eastAsia="楷体"/>
                <w:sz w:val="24"/>
                <w:szCs w:val="24"/>
              </w:rPr>
              <w:t>介绍，公司管理体系运行已满6个多月。对部门及其职责进行了规定，设有</w:t>
            </w:r>
            <w:r>
              <w:rPr>
                <w:rFonts w:hint="eastAsia" w:ascii="楷体" w:hAnsi="楷体" w:eastAsia="楷体"/>
                <w:sz w:val="24"/>
                <w:szCs w:val="24"/>
                <w:lang w:val="en-US" w:eastAsia="zh-CN"/>
              </w:rPr>
              <w:t>综合</w:t>
            </w:r>
            <w:r>
              <w:rPr>
                <w:rFonts w:hint="eastAsia" w:ascii="楷体" w:hAnsi="楷体" w:eastAsia="楷体"/>
                <w:sz w:val="24"/>
                <w:szCs w:val="24"/>
              </w:rPr>
              <w:t>部、销售部、生产部</w:t>
            </w:r>
            <w:r>
              <w:rPr>
                <w:rFonts w:hint="eastAsia" w:ascii="楷体" w:hAnsi="楷体" w:eastAsia="楷体"/>
                <w:sz w:val="24"/>
                <w:szCs w:val="24"/>
                <w:lang w:eastAsia="zh-CN"/>
              </w:rPr>
              <w:t>、</w:t>
            </w:r>
            <w:r>
              <w:rPr>
                <w:rFonts w:hint="eastAsia" w:ascii="楷体" w:hAnsi="楷体" w:eastAsia="楷体"/>
                <w:sz w:val="24"/>
                <w:szCs w:val="24"/>
                <w:lang w:val="en-US" w:eastAsia="zh-CN"/>
              </w:rPr>
              <w:t>采购部、财务部</w:t>
            </w:r>
            <w:r>
              <w:rPr>
                <w:rFonts w:hint="eastAsia" w:ascii="楷体" w:hAnsi="楷体" w:eastAsia="楷体"/>
                <w:sz w:val="24"/>
                <w:szCs w:val="24"/>
              </w:rPr>
              <w:t>，编制了岗位职责汇编，以文件上发的形式沟通各部门的职责及各部门之间工作的联系。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周承荣</w:t>
            </w:r>
            <w:r>
              <w:rPr>
                <w:rFonts w:hint="eastAsia" w:ascii="楷体" w:hAnsi="楷体" w:eastAsia="楷体"/>
                <w:sz w:val="24"/>
                <w:szCs w:val="24"/>
              </w:rPr>
              <w:t>，主要负责公司全面工作，</w:t>
            </w:r>
            <w:r>
              <w:rPr>
                <w:rFonts w:hint="eastAsia" w:ascii="楷体" w:hAnsi="楷体" w:eastAsia="楷体"/>
                <w:color w:val="000000"/>
                <w:sz w:val="24"/>
                <w:szCs w:val="24"/>
              </w:rPr>
              <w:t>日常主要侧重于公司财务及市场工作，根据体系的要求，负责组织制定方针、目标，管理评审等工作；</w:t>
            </w:r>
            <w:r>
              <w:rPr>
                <w:rFonts w:hint="eastAsia" w:ascii="楷体" w:hAnsi="楷体" w:eastAsia="楷体"/>
                <w:sz w:val="24"/>
                <w:szCs w:val="24"/>
              </w:rPr>
              <w:t>确保本公司三体系所需的过程得到建立、实施和保持；在全公司范围内促进满足顾客要求意识、环境保护意识、职业健康安全意识的形成和提高；就体系有关事宜对外联系。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总经理主持建立了质量环境职业健康安全管理体系，对管理体系的运行和保持进行了适当的授权，提供了必需的资源，能履行其管理承诺。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组织从</w:t>
            </w:r>
            <w:r>
              <w:rPr>
                <w:rFonts w:ascii="楷体" w:hAnsi="楷体" w:eastAsia="楷体"/>
                <w:sz w:val="24"/>
                <w:szCs w:val="24"/>
              </w:rPr>
              <w:t>20</w:t>
            </w:r>
            <w:r>
              <w:rPr>
                <w:rFonts w:hint="eastAsia" w:ascii="楷体" w:hAnsi="楷体" w:eastAsia="楷体"/>
                <w:sz w:val="24"/>
                <w:szCs w:val="24"/>
                <w:lang w:val="en-US" w:eastAsia="zh-CN"/>
              </w:rPr>
              <w:t>20</w:t>
            </w:r>
            <w:r>
              <w:rPr>
                <w:rFonts w:hint="eastAsia" w:ascii="楷体" w:hAnsi="楷体" w:eastAsia="楷体"/>
                <w:sz w:val="24"/>
                <w:szCs w:val="24"/>
              </w:rPr>
              <w:t>年</w:t>
            </w:r>
            <w:r>
              <w:rPr>
                <w:rFonts w:hint="eastAsia" w:ascii="楷体" w:hAnsi="楷体" w:eastAsia="楷体"/>
                <w:sz w:val="24"/>
                <w:szCs w:val="24"/>
                <w:lang w:val="en-US" w:eastAsia="zh-CN"/>
              </w:rPr>
              <w:t>5</w:t>
            </w:r>
            <w:r>
              <w:rPr>
                <w:rFonts w:hint="eastAsia" w:ascii="楷体" w:hAnsi="楷体" w:eastAsia="楷体"/>
                <w:sz w:val="24"/>
                <w:szCs w:val="24"/>
              </w:rPr>
              <w:t>月开始运行三体系，组织了内审员培训，识别了生产的过程及其相互关系，企业提供编号：</w:t>
            </w:r>
            <w:r>
              <w:rPr>
                <w:rFonts w:hint="eastAsia"/>
                <w:sz w:val="21"/>
                <w:szCs w:val="21"/>
              </w:rPr>
              <w:t>QEM/WQSY-2017</w:t>
            </w:r>
            <w:r>
              <w:rPr>
                <w:rFonts w:hint="eastAsia" w:ascii="楷体" w:hAnsi="楷体" w:eastAsia="楷体"/>
                <w:sz w:val="24"/>
                <w:szCs w:val="24"/>
              </w:rPr>
              <w:t>《管理手册》，依据</w:t>
            </w:r>
            <w:r>
              <w:rPr>
                <w:rFonts w:ascii="楷体" w:hAnsi="楷体" w:eastAsia="楷体"/>
                <w:sz w:val="24"/>
                <w:szCs w:val="24"/>
              </w:rPr>
              <w:t>GB/T19001-2016/ISO9001:2015</w:t>
            </w:r>
            <w:r>
              <w:rPr>
                <w:rFonts w:hint="eastAsia" w:ascii="楷体" w:hAnsi="楷体" w:eastAsia="楷体"/>
                <w:sz w:val="24"/>
                <w:szCs w:val="24"/>
              </w:rPr>
              <w:t>、</w:t>
            </w:r>
            <w:r>
              <w:rPr>
                <w:rFonts w:ascii="楷体" w:hAnsi="楷体" w:eastAsia="楷体"/>
                <w:sz w:val="24"/>
                <w:szCs w:val="24"/>
              </w:rPr>
              <w:t>GB/T24001-2016/IS014001:2015</w:t>
            </w:r>
            <w:r>
              <w:rPr>
                <w:rFonts w:hint="eastAsia" w:ascii="楷体" w:hAnsi="楷体" w:eastAsia="楷体"/>
                <w:sz w:val="24"/>
                <w:szCs w:val="24"/>
              </w:rPr>
              <w:t>、</w:t>
            </w:r>
            <w:r>
              <w:rPr>
                <w:rFonts w:ascii="楷体" w:hAnsi="楷体" w:eastAsia="楷体"/>
                <w:sz w:val="24"/>
                <w:szCs w:val="24"/>
              </w:rPr>
              <w:t>ISO45001:2018</w:t>
            </w:r>
            <w:r>
              <w:rPr>
                <w:rFonts w:hint="eastAsia" w:ascii="楷体" w:hAnsi="楷体" w:eastAsia="楷体"/>
                <w:sz w:val="24"/>
                <w:szCs w:val="24"/>
              </w:rPr>
              <w:t>标准。</w:t>
            </w:r>
            <w:r>
              <w:rPr>
                <w:rFonts w:ascii="楷体" w:hAnsi="楷体" w:eastAsia="楷体"/>
                <w:sz w:val="24"/>
                <w:szCs w:val="24"/>
              </w:rPr>
              <w:t>20</w:t>
            </w:r>
            <w:r>
              <w:rPr>
                <w:rFonts w:hint="eastAsia" w:ascii="楷体" w:hAnsi="楷体" w:eastAsia="楷体"/>
                <w:sz w:val="24"/>
                <w:szCs w:val="24"/>
                <w:lang w:val="en-US" w:eastAsia="zh-CN"/>
              </w:rPr>
              <w:t>20</w:t>
            </w:r>
            <w:r>
              <w:rPr>
                <w:rFonts w:ascii="楷体" w:hAnsi="楷体" w:eastAsia="楷体"/>
                <w:sz w:val="24"/>
                <w:szCs w:val="24"/>
              </w:rPr>
              <w:t>.</w:t>
            </w:r>
            <w:r>
              <w:rPr>
                <w:rFonts w:hint="eastAsia" w:ascii="楷体" w:hAnsi="楷体" w:eastAsia="楷体"/>
                <w:sz w:val="24"/>
                <w:szCs w:val="24"/>
                <w:lang w:val="en-US" w:eastAsia="zh-CN"/>
              </w:rPr>
              <w:t>5</w:t>
            </w:r>
            <w:r>
              <w:rPr>
                <w:rFonts w:ascii="楷体" w:hAnsi="楷体" w:eastAsia="楷体"/>
                <w:sz w:val="24"/>
                <w:szCs w:val="24"/>
              </w:rPr>
              <w:t>.</w:t>
            </w:r>
            <w:r>
              <w:rPr>
                <w:rFonts w:hint="eastAsia" w:ascii="楷体" w:hAnsi="楷体" w:eastAsia="楷体"/>
                <w:sz w:val="24"/>
                <w:szCs w:val="24"/>
                <w:lang w:val="en-US" w:eastAsia="zh-CN"/>
              </w:rPr>
              <w:t>16</w:t>
            </w:r>
            <w:r>
              <w:rPr>
                <w:rFonts w:hint="eastAsia" w:ascii="楷体" w:hAnsi="楷体" w:eastAsia="楷体"/>
                <w:sz w:val="24"/>
                <w:szCs w:val="24"/>
              </w:rPr>
              <w:t>发布，</w:t>
            </w:r>
            <w:r>
              <w:rPr>
                <w:rFonts w:ascii="楷体" w:hAnsi="楷体" w:eastAsia="楷体"/>
                <w:sz w:val="24"/>
                <w:szCs w:val="24"/>
              </w:rPr>
              <w:t>20</w:t>
            </w:r>
            <w:r>
              <w:rPr>
                <w:rFonts w:hint="eastAsia" w:ascii="楷体" w:hAnsi="楷体" w:eastAsia="楷体"/>
                <w:sz w:val="24"/>
                <w:szCs w:val="24"/>
                <w:lang w:val="en-US" w:eastAsia="zh-CN"/>
              </w:rPr>
              <w:t>20</w:t>
            </w:r>
            <w:r>
              <w:rPr>
                <w:rFonts w:ascii="楷体" w:hAnsi="楷体" w:eastAsia="楷体"/>
                <w:sz w:val="24"/>
                <w:szCs w:val="24"/>
              </w:rPr>
              <w:t>.</w:t>
            </w:r>
            <w:r>
              <w:rPr>
                <w:rFonts w:hint="eastAsia" w:ascii="楷体" w:hAnsi="楷体" w:eastAsia="楷体"/>
                <w:sz w:val="24"/>
                <w:szCs w:val="24"/>
                <w:lang w:val="en-US" w:eastAsia="zh-CN"/>
              </w:rPr>
              <w:t>5</w:t>
            </w:r>
            <w:r>
              <w:rPr>
                <w:rFonts w:ascii="楷体" w:hAnsi="楷体" w:eastAsia="楷体"/>
                <w:sz w:val="24"/>
                <w:szCs w:val="24"/>
              </w:rPr>
              <w:t>.</w:t>
            </w:r>
            <w:r>
              <w:rPr>
                <w:rFonts w:hint="eastAsia" w:ascii="楷体" w:hAnsi="楷体" w:eastAsia="楷体"/>
                <w:sz w:val="24"/>
                <w:szCs w:val="24"/>
                <w:lang w:val="en-US" w:eastAsia="zh-CN"/>
              </w:rPr>
              <w:t>16</w:t>
            </w:r>
            <w:r>
              <w:rPr>
                <w:rFonts w:hint="eastAsia" w:ascii="楷体" w:hAnsi="楷体" w:eastAsia="楷体"/>
                <w:sz w:val="24"/>
                <w:szCs w:val="24"/>
              </w:rPr>
              <w:t>实施；总经理</w:t>
            </w:r>
            <w:r>
              <w:rPr>
                <w:rFonts w:hint="eastAsia" w:ascii="楷体" w:hAnsi="楷体" w:eastAsia="楷体"/>
                <w:sz w:val="24"/>
                <w:szCs w:val="24"/>
                <w:lang w:val="en-US" w:eastAsia="zh-CN"/>
              </w:rPr>
              <w:t>周承荣</w:t>
            </w:r>
            <w:r>
              <w:rPr>
                <w:rFonts w:hint="eastAsia" w:ascii="楷体" w:hAnsi="楷体" w:eastAsia="楷体"/>
                <w:sz w:val="24"/>
                <w:szCs w:val="24"/>
              </w:rPr>
              <w:t>批准。任命管代：</w:t>
            </w:r>
            <w:r>
              <w:rPr>
                <w:rFonts w:hint="eastAsia" w:ascii="楷体" w:hAnsi="楷体" w:eastAsia="楷体"/>
                <w:sz w:val="24"/>
                <w:szCs w:val="24"/>
                <w:lang w:val="en-US" w:eastAsia="zh-CN"/>
              </w:rPr>
              <w:t>邱远龙</w:t>
            </w:r>
            <w:r>
              <w:rPr>
                <w:rFonts w:hint="eastAsia" w:ascii="楷体" w:hAnsi="楷体" w:eastAsia="楷体"/>
                <w:sz w:val="24"/>
                <w:szCs w:val="24"/>
              </w:rPr>
              <w:t>；职业健康安全事务代表：</w:t>
            </w:r>
            <w:r>
              <w:rPr>
                <w:rFonts w:hint="eastAsia" w:ascii="楷体" w:hAnsi="楷体" w:eastAsia="楷体"/>
                <w:sz w:val="24"/>
                <w:szCs w:val="24"/>
                <w:lang w:val="en-US" w:eastAsia="zh-CN"/>
              </w:rPr>
              <w:t>范小龙</w:t>
            </w:r>
            <w:r>
              <w:rPr>
                <w:rFonts w:hint="eastAsia" w:ascii="楷体" w:hAnsi="楷体" w:eastAsia="楷体"/>
                <w:sz w:val="24"/>
                <w:szCs w:val="24"/>
              </w:rPr>
              <w:t>，现有手册从发布实施以来已经运行</w:t>
            </w:r>
            <w:r>
              <w:rPr>
                <w:rFonts w:ascii="楷体" w:hAnsi="楷体" w:eastAsia="楷体"/>
                <w:sz w:val="24"/>
                <w:szCs w:val="24"/>
              </w:rPr>
              <w:t xml:space="preserve"> </w:t>
            </w:r>
            <w:r>
              <w:rPr>
                <w:rFonts w:hint="eastAsia" w:ascii="楷体" w:hAnsi="楷体" w:eastAsia="楷体"/>
                <w:sz w:val="24"/>
                <w:szCs w:val="24"/>
                <w:lang w:val="en-US" w:eastAsia="zh-CN"/>
              </w:rPr>
              <w:t>6</w:t>
            </w:r>
            <w:r>
              <w:rPr>
                <w:rFonts w:hint="eastAsia" w:ascii="楷体" w:hAnsi="楷体" w:eastAsia="楷体"/>
                <w:sz w:val="24"/>
                <w:szCs w:val="24"/>
              </w:rPr>
              <w:t>个月以上。</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理解组织及其环境</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4.1</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提供《管理手册</w:t>
            </w:r>
            <w:r>
              <w:rPr>
                <w:rFonts w:hint="eastAsia"/>
                <w:sz w:val="21"/>
                <w:szCs w:val="21"/>
              </w:rPr>
              <w:t>QEM/WQSY-2017</w:t>
            </w:r>
            <w:r>
              <w:rPr>
                <w:rFonts w:hint="eastAsia" w:ascii="楷体" w:hAnsi="楷体" w:eastAsia="楷体"/>
                <w:color w:val="000000"/>
                <w:sz w:val="24"/>
                <w:szCs w:val="24"/>
              </w:rPr>
              <w:t>》，对公司地理位置、国内市场地位、法律法规要求、公司内部文化观价值观、内外部环境变化等均作出描述。</w:t>
            </w:r>
            <w:r>
              <w:rPr>
                <w:rFonts w:ascii="楷体" w:hAnsi="楷体" w:eastAsia="楷体"/>
                <w:color w:val="000000"/>
                <w:sz w:val="24"/>
                <w:szCs w:val="24"/>
              </w:rPr>
              <w:t xml:space="preserve"> </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与总经理</w:t>
            </w:r>
            <w:r>
              <w:rPr>
                <w:rFonts w:hint="eastAsia" w:ascii="楷体" w:hAnsi="楷体" w:eastAsia="楷体"/>
                <w:sz w:val="24"/>
                <w:szCs w:val="24"/>
                <w:lang w:val="en-US" w:eastAsia="zh-CN"/>
              </w:rPr>
              <w:t>周承荣</w:t>
            </w:r>
            <w:r>
              <w:rPr>
                <w:rFonts w:hint="eastAsia" w:ascii="楷体" w:hAnsi="楷体" w:eastAsia="楷体"/>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pPr>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理解相关方的需求和期望</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4.2</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基本识别了与组织管理体系有关的相关方和要求</w:t>
            </w:r>
            <w:r>
              <w:rPr>
                <w:rFonts w:hint="eastAsia" w:ascii="楷体" w:hAnsi="楷体" w:eastAsia="楷体"/>
                <w:sz w:val="24"/>
                <w:szCs w:val="24"/>
                <w:lang w:val="zh-CN"/>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w:t>
            </w:r>
            <w:r>
              <w:rPr>
                <w:rFonts w:ascii="楷体" w:hAnsi="楷体" w:eastAsia="楷体"/>
                <w:sz w:val="24"/>
                <w:szCs w:val="24"/>
              </w:rPr>
              <w:t>/</w:t>
            </w:r>
            <w:r>
              <w:rPr>
                <w:rFonts w:hint="eastAsia" w:ascii="楷体" w:hAnsi="楷体" w:eastAsia="楷体"/>
                <w:sz w:val="24"/>
                <w:szCs w:val="24"/>
              </w:rPr>
              <w:t>职业健康安全管理体系的范围</w:t>
            </w:r>
          </w:p>
        </w:tc>
        <w:tc>
          <w:tcPr>
            <w:tcW w:w="1311" w:type="dxa"/>
            <w:vAlign w:val="center"/>
          </w:tcPr>
          <w:p>
            <w:pPr>
              <w:spacing w:line="360" w:lineRule="auto"/>
              <w:rPr>
                <w:rFonts w:ascii="楷体" w:hAnsi="楷体" w:eastAsia="楷体"/>
                <w:color w:val="000000"/>
                <w:sz w:val="24"/>
                <w:szCs w:val="24"/>
              </w:rPr>
            </w:pPr>
            <w:r>
              <w:rPr>
                <w:rFonts w:ascii="楷体" w:hAnsi="楷体" w:eastAsia="楷体"/>
                <w:color w:val="000000"/>
                <w:sz w:val="24"/>
                <w:szCs w:val="24"/>
              </w:rPr>
              <w:t>QEO</w:t>
            </w:r>
            <w:r>
              <w:rPr>
                <w:rFonts w:hint="eastAsia" w:ascii="楷体" w:hAnsi="楷体" w:eastAsia="楷体"/>
                <w:color w:val="000000"/>
                <w:sz w:val="24"/>
                <w:szCs w:val="24"/>
              </w:rPr>
              <w:t>：</w:t>
            </w:r>
            <w:r>
              <w:rPr>
                <w:rFonts w:ascii="楷体" w:hAnsi="楷体" w:eastAsia="楷体"/>
                <w:color w:val="000000"/>
                <w:sz w:val="24"/>
                <w:szCs w:val="24"/>
              </w:rPr>
              <w:t xml:space="preserve">4.3 </w:t>
            </w:r>
          </w:p>
        </w:tc>
        <w:tc>
          <w:tcPr>
            <w:tcW w:w="10004" w:type="dxa"/>
            <w:vAlign w:val="center"/>
          </w:tcPr>
          <w:p>
            <w:pPr>
              <w:spacing w:line="360" w:lineRule="auto"/>
              <w:jc w:val="left"/>
              <w:rPr>
                <w:rFonts w:ascii="楷体" w:hAnsi="楷体" w:eastAsia="楷体"/>
                <w:color w:val="000000"/>
                <w:sz w:val="24"/>
                <w:szCs w:val="24"/>
              </w:rPr>
            </w:pPr>
            <w:r>
              <w:rPr>
                <w:rFonts w:hint="eastAsia" w:ascii="楷体" w:hAnsi="楷体" w:eastAsia="楷体"/>
                <w:color w:val="000000"/>
                <w:sz w:val="24"/>
                <w:szCs w:val="24"/>
              </w:rPr>
              <w:t>经确认企业的管理体系范围是：</w:t>
            </w:r>
            <w:bookmarkStart w:id="1" w:name="_GoBack"/>
            <w:bookmarkEnd w:id="1"/>
          </w:p>
          <w:p>
            <w:pPr>
              <w:rPr>
                <w:rFonts w:hint="eastAsia" w:ascii="楷体" w:hAnsi="楷体" w:eastAsia="楷体" w:cs="楷体"/>
                <w:color w:val="auto"/>
                <w:sz w:val="24"/>
                <w:szCs w:val="24"/>
              </w:rPr>
            </w:pPr>
            <w:r>
              <w:rPr>
                <w:rFonts w:hint="eastAsia" w:ascii="楷体" w:hAnsi="楷体" w:eastAsia="楷体" w:cs="楷体"/>
                <w:color w:val="auto"/>
                <w:sz w:val="24"/>
                <w:szCs w:val="24"/>
              </w:rPr>
              <w:t>Q：</w:t>
            </w:r>
            <w:r>
              <w:rPr>
                <w:rFonts w:hint="eastAsia" w:ascii="楷体" w:hAnsi="楷体" w:eastAsia="楷体" w:cs="楷体"/>
                <w:sz w:val="24"/>
                <w:szCs w:val="24"/>
              </w:rPr>
              <w:t>塑料编织袋的生产及销售</w:t>
            </w:r>
          </w:p>
          <w:p>
            <w:pPr>
              <w:rPr>
                <w:rFonts w:hint="eastAsia" w:ascii="楷体" w:hAnsi="楷体" w:eastAsia="楷体" w:cs="楷体"/>
                <w:color w:val="auto"/>
                <w:sz w:val="24"/>
                <w:szCs w:val="24"/>
              </w:rPr>
            </w:pPr>
            <w:r>
              <w:rPr>
                <w:rFonts w:hint="eastAsia" w:ascii="楷体" w:hAnsi="楷体" w:eastAsia="楷体" w:cs="楷体"/>
                <w:color w:val="auto"/>
                <w:sz w:val="24"/>
                <w:szCs w:val="24"/>
              </w:rPr>
              <w:t>E：</w:t>
            </w:r>
            <w:r>
              <w:rPr>
                <w:rFonts w:hint="eastAsia" w:ascii="楷体" w:hAnsi="楷体" w:eastAsia="楷体" w:cs="楷体"/>
                <w:sz w:val="24"/>
                <w:szCs w:val="24"/>
              </w:rPr>
              <w:t>塑料编织袋的生产及销售所涉及的相关环境管理活动</w:t>
            </w:r>
          </w:p>
          <w:p>
            <w:pPr>
              <w:spacing w:line="360" w:lineRule="auto"/>
              <w:rPr>
                <w:rFonts w:hint="eastAsia" w:ascii="楷体" w:hAnsi="楷体" w:eastAsia="楷体" w:cs="楷体"/>
                <w:color w:val="auto"/>
                <w:sz w:val="24"/>
                <w:szCs w:val="24"/>
              </w:rPr>
            </w:pPr>
            <w:r>
              <w:rPr>
                <w:rFonts w:hint="eastAsia" w:ascii="楷体" w:hAnsi="楷体" w:eastAsia="楷体" w:cs="楷体"/>
                <w:color w:val="auto"/>
                <w:sz w:val="24"/>
                <w:szCs w:val="24"/>
              </w:rPr>
              <w:t>O：</w:t>
            </w:r>
            <w:r>
              <w:rPr>
                <w:rFonts w:hint="eastAsia" w:ascii="楷体" w:hAnsi="楷体" w:eastAsia="楷体" w:cs="楷体"/>
                <w:sz w:val="24"/>
                <w:szCs w:val="24"/>
              </w:rPr>
              <w:t>塑料编织袋的生产及销售所涉及的相关职业健康安全管理活动</w:t>
            </w:r>
          </w:p>
          <w:p>
            <w:pPr>
              <w:spacing w:line="360" w:lineRule="auto"/>
              <w:rPr>
                <w:rFonts w:hint="default" w:ascii="楷体" w:hAnsi="楷体" w:eastAsia="楷体" w:cs="楷体"/>
                <w:color w:val="FF0000"/>
                <w:sz w:val="24"/>
                <w:szCs w:val="24"/>
                <w:lang w:val="en-US" w:eastAsia="zh-CN"/>
              </w:rPr>
            </w:pPr>
            <w:r>
              <w:rPr>
                <w:rFonts w:hint="eastAsia" w:ascii="楷体" w:hAnsi="楷体" w:eastAsia="楷体" w:cs="楷体"/>
                <w:color w:val="auto"/>
                <w:sz w:val="24"/>
                <w:szCs w:val="24"/>
                <w:lang w:val="en-US" w:eastAsia="zh-CN"/>
              </w:rPr>
              <w:t>经识别，无外包，</w:t>
            </w:r>
            <w:r>
              <w:rPr>
                <w:rFonts w:hint="eastAsia" w:ascii="楷体" w:hAnsi="楷体" w:eastAsia="楷体" w:cs="楷体"/>
                <w:color w:val="000000"/>
                <w:sz w:val="24"/>
                <w:szCs w:val="24"/>
              </w:rPr>
              <w:t xml:space="preserve">关键过程有：加热拉丝、圆织 </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需要确认过程：加热拉丝</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复膜过程</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职业健康安全管理体系及其过程</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4.4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w:t>
            </w:r>
            <w:r>
              <w:rPr>
                <w:rFonts w:ascii="楷体" w:hAnsi="楷体" w:eastAsia="楷体"/>
                <w:sz w:val="24"/>
                <w:szCs w:val="24"/>
              </w:rPr>
              <w:t xml:space="preserve"> GB/T19001-2016 </w:t>
            </w:r>
            <w:r>
              <w:rPr>
                <w:rFonts w:hint="eastAsia" w:ascii="楷体" w:hAnsi="楷体" w:eastAsia="楷体"/>
                <w:sz w:val="24"/>
                <w:szCs w:val="24"/>
              </w:rPr>
              <w:t>和</w:t>
            </w:r>
            <w:r>
              <w:rPr>
                <w:rFonts w:ascii="楷体" w:hAnsi="楷体" w:eastAsia="楷体"/>
                <w:sz w:val="24"/>
                <w:szCs w:val="24"/>
              </w:rPr>
              <w:t xml:space="preserve"> GB/T24001-2016</w:t>
            </w:r>
            <w:r>
              <w:rPr>
                <w:rFonts w:hint="eastAsia" w:ascii="楷体" w:hAnsi="楷体" w:eastAsia="楷体"/>
                <w:sz w:val="24"/>
                <w:szCs w:val="24"/>
              </w:rPr>
              <w:t>、</w:t>
            </w:r>
            <w:r>
              <w:rPr>
                <w:rFonts w:ascii="楷体" w:hAnsi="楷体" w:eastAsia="楷体"/>
                <w:sz w:val="24"/>
                <w:szCs w:val="24"/>
              </w:rPr>
              <w:t xml:space="preserve">ISO45001:2018 </w:t>
            </w:r>
            <w:r>
              <w:rPr>
                <w:rFonts w:hint="eastAsia" w:ascii="楷体" w:hAnsi="楷体" w:eastAsia="楷体"/>
                <w:sz w:val="24"/>
                <w:szCs w:val="24"/>
              </w:rPr>
              <w:t>标准的要求识别了质量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职业健康安全管理所需的过程及相互作用，识别了质量和环境、职业健康安全管理体系涉及的各个过程：</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a) </w:t>
            </w:r>
            <w:r>
              <w:rPr>
                <w:rFonts w:hint="eastAsia" w:ascii="楷体" w:hAnsi="楷体" w:eastAsia="楷体"/>
                <w:sz w:val="24"/>
                <w:szCs w:val="24"/>
              </w:rPr>
              <w:t>确定这些过程所需的输入和期望的输出；</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b) </w:t>
            </w:r>
            <w:r>
              <w:rPr>
                <w:rFonts w:hint="eastAsia" w:ascii="楷体" w:hAnsi="楷体" w:eastAsia="楷体"/>
                <w:sz w:val="24"/>
                <w:szCs w:val="24"/>
              </w:rPr>
              <w:t>确定这些过程的顺序和相互作用；</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c) </w:t>
            </w:r>
            <w:r>
              <w:rPr>
                <w:rFonts w:hint="eastAsia" w:ascii="楷体" w:hAnsi="楷体" w:eastAsia="楷体"/>
                <w:sz w:val="24"/>
                <w:szCs w:val="24"/>
              </w:rPr>
              <w:t>建立了程序文件、管理制度、作业指导书、检验规程等明确了各个过程所需的准则和方法，并明确了目标。</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d) </w:t>
            </w:r>
            <w:r>
              <w:rPr>
                <w:rFonts w:hint="eastAsia" w:ascii="楷体" w:hAnsi="楷体" w:eastAsia="楷体"/>
                <w:sz w:val="24"/>
                <w:szCs w:val="24"/>
              </w:rPr>
              <w:t>规定了每个过程所需的资源；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e) </w:t>
            </w:r>
            <w:r>
              <w:rPr>
                <w:rFonts w:hint="eastAsia" w:ascii="楷体" w:hAnsi="楷体" w:eastAsia="楷体"/>
                <w:sz w:val="24"/>
                <w:szCs w:val="24"/>
              </w:rPr>
              <w:t>规定与这些过程相关的责任和权限；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  f) </w:t>
            </w:r>
            <w:r>
              <w:rPr>
                <w:rFonts w:hint="eastAsia" w:ascii="楷体" w:hAnsi="楷体" w:eastAsia="楷体"/>
                <w:sz w:val="24"/>
                <w:szCs w:val="24"/>
              </w:rPr>
              <w:t>针对这些过程识别和确定了质量管理活动的风险、机会以及所需的措施；</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g) </w:t>
            </w:r>
            <w:r>
              <w:rPr>
                <w:rFonts w:hint="eastAsia" w:ascii="楷体" w:hAnsi="楷体" w:eastAsia="楷体"/>
                <w:sz w:val="24"/>
                <w:szCs w:val="24"/>
              </w:rPr>
              <w:t>对这些过程进行了评价，暂无所需的变更；</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h) </w:t>
            </w:r>
            <w:r>
              <w:rPr>
                <w:rFonts w:hint="eastAsia" w:ascii="楷体" w:hAnsi="楷体" w:eastAsia="楷体"/>
                <w:sz w:val="24"/>
                <w:szCs w:val="24"/>
              </w:rPr>
              <w:t>公司通过绩效评价、内部审核、管理评审等以期对质量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职业健康安全管理管理体系得到改进。</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公司按照标准建立了文件化的质量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职业健康安全管理体系，编制了质量／环境</w:t>
            </w:r>
            <w:r>
              <w:rPr>
                <w:rFonts w:ascii="楷体" w:hAnsi="楷体" w:eastAsia="楷体"/>
                <w:sz w:val="24"/>
                <w:szCs w:val="24"/>
              </w:rPr>
              <w:t>/</w:t>
            </w:r>
            <w:r>
              <w:rPr>
                <w:rFonts w:hint="eastAsia" w:ascii="楷体" w:hAnsi="楷体" w:eastAsia="楷体"/>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方针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5.2 </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企业已经制定质量、环境、安全方针，具体包含在《管理手册》，公司的质量、环境、职业健康安全方针是：</w:t>
            </w:r>
          </w:p>
          <w:p>
            <w:pPr>
              <w:ind w:left="0" w:leftChars="0" w:firstLine="0" w:firstLineChars="0"/>
              <w:jc w:val="center"/>
              <w:rPr>
                <w:rFonts w:hint="eastAsia" w:ascii="楷体" w:hAnsi="楷体" w:eastAsia="楷体" w:cs="楷体"/>
                <w:b w:val="0"/>
                <w:bCs/>
                <w:sz w:val="24"/>
                <w:szCs w:val="24"/>
              </w:rPr>
            </w:pPr>
            <w:r>
              <w:rPr>
                <w:rFonts w:hint="eastAsia" w:ascii="楷体" w:hAnsi="楷体" w:eastAsia="楷体" w:cs="楷体"/>
                <w:b w:val="0"/>
                <w:bCs/>
                <w:sz w:val="24"/>
                <w:szCs w:val="24"/>
              </w:rPr>
              <w:t>质量方针</w:t>
            </w:r>
          </w:p>
          <w:p>
            <w:pPr>
              <w:spacing w:line="720" w:lineRule="auto"/>
              <w:ind w:left="0" w:leftChars="0" w:firstLine="0" w:firstLineChars="0"/>
              <w:jc w:val="center"/>
              <w:rPr>
                <w:rFonts w:hint="eastAsia" w:ascii="楷体" w:hAnsi="楷体" w:eastAsia="楷体" w:cs="楷体"/>
                <w:b w:val="0"/>
                <w:bCs/>
                <w:sz w:val="24"/>
                <w:szCs w:val="24"/>
              </w:rPr>
            </w:pPr>
            <w:r>
              <w:rPr>
                <w:rFonts w:hint="eastAsia" w:ascii="楷体" w:hAnsi="楷体" w:eastAsia="楷体" w:cs="楷体"/>
                <w:b w:val="0"/>
                <w:bCs/>
                <w:sz w:val="24"/>
                <w:szCs w:val="24"/>
              </w:rPr>
              <w:t>持续提升产品质量      全力满足顾客要求</w:t>
            </w:r>
          </w:p>
          <w:p>
            <w:pPr>
              <w:pStyle w:val="3"/>
              <w:spacing w:line="500" w:lineRule="exact"/>
              <w:ind w:left="0" w:leftChars="0" w:firstLine="0" w:firstLineChars="0"/>
              <w:jc w:val="center"/>
              <w:rPr>
                <w:rFonts w:hint="eastAsia" w:ascii="楷体" w:hAnsi="楷体" w:eastAsia="楷体" w:cs="楷体"/>
                <w:b w:val="0"/>
                <w:bCs/>
                <w:sz w:val="24"/>
                <w:szCs w:val="24"/>
              </w:rPr>
            </w:pPr>
            <w:r>
              <w:rPr>
                <w:rFonts w:hint="eastAsia" w:ascii="楷体" w:hAnsi="楷体" w:eastAsia="楷体" w:cs="楷体"/>
                <w:b w:val="0"/>
                <w:bCs/>
                <w:sz w:val="24"/>
                <w:szCs w:val="24"/>
              </w:rPr>
              <w:t>环境方针</w:t>
            </w:r>
          </w:p>
          <w:p>
            <w:pPr>
              <w:pStyle w:val="3"/>
              <w:spacing w:line="500" w:lineRule="exact"/>
              <w:jc w:val="center"/>
              <w:rPr>
                <w:rFonts w:hint="eastAsia" w:ascii="楷体" w:hAnsi="楷体" w:eastAsia="楷体" w:cs="楷体"/>
                <w:b w:val="0"/>
                <w:bCs/>
                <w:sz w:val="24"/>
                <w:szCs w:val="24"/>
              </w:rPr>
            </w:pPr>
            <w:r>
              <w:rPr>
                <w:rFonts w:hint="eastAsia" w:ascii="楷体" w:hAnsi="楷体" w:eastAsia="楷体" w:cs="楷体"/>
                <w:b w:val="0"/>
                <w:bCs/>
                <w:sz w:val="24"/>
                <w:szCs w:val="24"/>
              </w:rPr>
              <w:t>倡导绿色环保思想    树立良好企业形象</w:t>
            </w:r>
          </w:p>
          <w:p>
            <w:pPr>
              <w:pStyle w:val="2"/>
              <w:ind w:left="0"/>
              <w:jc w:val="center"/>
              <w:rPr>
                <w:rFonts w:hint="eastAsia" w:ascii="楷体" w:hAnsi="楷体" w:eastAsia="楷体" w:cs="楷体"/>
                <w:b w:val="0"/>
                <w:bCs/>
                <w:sz w:val="24"/>
                <w:szCs w:val="24"/>
              </w:rPr>
            </w:pPr>
            <w:r>
              <w:rPr>
                <w:rFonts w:hint="eastAsia" w:ascii="楷体" w:hAnsi="楷体" w:eastAsia="楷体" w:cs="楷体"/>
                <w:b w:val="0"/>
                <w:bCs/>
                <w:sz w:val="24"/>
                <w:szCs w:val="24"/>
              </w:rPr>
              <w:t>完善自身环境行为    保护环境造福人类</w:t>
            </w:r>
          </w:p>
          <w:p>
            <w:pPr>
              <w:rPr>
                <w:rFonts w:hint="eastAsia" w:ascii="楷体" w:hAnsi="楷体" w:eastAsia="楷体" w:cs="楷体"/>
                <w:b w:val="0"/>
                <w:bCs/>
                <w:sz w:val="24"/>
                <w:szCs w:val="24"/>
                <w:lang w:val="en-US" w:eastAsia="zh-CN"/>
              </w:rPr>
            </w:pPr>
          </w:p>
          <w:p>
            <w:pPr>
              <w:pStyle w:val="3"/>
              <w:spacing w:line="500" w:lineRule="exact"/>
              <w:ind w:left="0" w:leftChars="0" w:firstLine="0" w:firstLineChars="0"/>
              <w:jc w:val="center"/>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职业健康安全方针</w:t>
            </w:r>
          </w:p>
          <w:p>
            <w:pPr>
              <w:jc w:val="center"/>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安全第一  预防为主   全员参与   遵纪守法</w:t>
            </w:r>
          </w:p>
          <w:p>
            <w:pPr>
              <w:spacing w:line="360" w:lineRule="auto"/>
              <w:rPr>
                <w:rFonts w:ascii="楷体" w:hAnsi="楷体" w:eastAsia="楷体"/>
                <w:sz w:val="24"/>
                <w:szCs w:val="24"/>
              </w:rPr>
            </w:pPr>
            <w:r>
              <w:rPr>
                <w:rFonts w:hint="eastAsia" w:ascii="楷体" w:hAnsi="楷体" w:eastAsia="楷体"/>
                <w:sz w:val="24"/>
                <w:szCs w:val="24"/>
              </w:rPr>
              <w:t>查领导层参与制定管理体系方针的情况，是否熟悉组织的管理体系方针内容、含义：</w:t>
            </w:r>
          </w:p>
          <w:p>
            <w:pPr>
              <w:spacing w:line="360" w:lineRule="auto"/>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周承荣，管代邱远龙</w:t>
            </w:r>
            <w:r>
              <w:rPr>
                <w:rFonts w:hint="eastAsia" w:ascii="楷体" w:hAnsi="楷体" w:eastAsia="楷体"/>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组织的角色、职责和权限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应对风险和机会的措施</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6.1</w:t>
            </w:r>
          </w:p>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 6.1.1</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目标和措施计划</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6.2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ascii="楷体" w:hAnsi="楷体" w:eastAsia="楷体"/>
                <w:sz w:val="24"/>
                <w:szCs w:val="24"/>
              </w:rPr>
            </w:pPr>
            <w:r>
              <w:rPr>
                <w:rFonts w:hint="eastAsia" w:ascii="楷体" w:hAnsi="楷体" w:eastAsia="楷体"/>
                <w:sz w:val="24"/>
                <w:szCs w:val="24"/>
              </w:rPr>
              <w:t>质量目标：</w:t>
            </w:r>
          </w:p>
          <w:p>
            <w:pPr>
              <w:spacing w:line="240" w:lineRule="auto"/>
              <w:ind w:firstLine="1195" w:firstLineChars="498"/>
              <w:rPr>
                <w:rFonts w:hint="eastAsia" w:ascii="楷体" w:hAnsi="楷体" w:eastAsia="楷体" w:cs="楷体"/>
                <w:b w:val="0"/>
                <w:bCs/>
                <w:sz w:val="24"/>
                <w:szCs w:val="24"/>
              </w:rPr>
            </w:pPr>
            <w:r>
              <w:rPr>
                <w:rFonts w:hint="eastAsia" w:ascii="楷体" w:hAnsi="楷体" w:eastAsia="楷体" w:cs="楷体"/>
                <w:b w:val="0"/>
                <w:bCs/>
                <w:sz w:val="24"/>
                <w:szCs w:val="24"/>
              </w:rPr>
              <w:t>产品一次交检合格率≧98%</w:t>
            </w:r>
          </w:p>
          <w:p>
            <w:pPr>
              <w:spacing w:line="240" w:lineRule="auto"/>
              <w:ind w:firstLine="1195" w:firstLineChars="498"/>
              <w:rPr>
                <w:rFonts w:hint="eastAsia" w:ascii="楷体" w:hAnsi="楷体" w:eastAsia="楷体" w:cs="楷体"/>
                <w:b w:val="0"/>
                <w:bCs/>
                <w:sz w:val="24"/>
                <w:szCs w:val="24"/>
              </w:rPr>
            </w:pPr>
            <w:r>
              <w:rPr>
                <w:rFonts w:hint="eastAsia" w:ascii="楷体" w:hAnsi="楷体" w:eastAsia="楷体" w:cs="楷体"/>
                <w:b w:val="0"/>
                <w:bCs/>
                <w:sz w:val="24"/>
                <w:szCs w:val="24"/>
              </w:rPr>
              <w:t>产品出厂合格率  100%</w:t>
            </w:r>
          </w:p>
          <w:p>
            <w:pPr>
              <w:spacing w:line="240" w:lineRule="auto"/>
              <w:ind w:firstLine="1195" w:firstLineChars="498"/>
              <w:rPr>
                <w:rFonts w:hint="eastAsia" w:ascii="楷体" w:hAnsi="楷体" w:eastAsia="楷体" w:cs="楷体"/>
                <w:b w:val="0"/>
                <w:bCs/>
                <w:sz w:val="24"/>
                <w:szCs w:val="24"/>
              </w:rPr>
            </w:pPr>
            <w:r>
              <w:rPr>
                <w:rFonts w:hint="eastAsia" w:ascii="楷体" w:hAnsi="楷体" w:eastAsia="楷体" w:cs="楷体"/>
                <w:b w:val="0"/>
                <w:bCs/>
                <w:sz w:val="24"/>
                <w:szCs w:val="24"/>
              </w:rPr>
              <w:t>合同履行率  100%</w:t>
            </w:r>
          </w:p>
          <w:p>
            <w:pPr>
              <w:spacing w:line="240" w:lineRule="auto"/>
              <w:ind w:firstLine="1195" w:firstLineChars="498"/>
              <w:rPr>
                <w:rFonts w:hint="eastAsia" w:ascii="楷体" w:hAnsi="楷体" w:eastAsia="楷体" w:cs="楷体"/>
                <w:b w:val="0"/>
                <w:bCs/>
                <w:sz w:val="24"/>
                <w:szCs w:val="24"/>
              </w:rPr>
            </w:pPr>
            <w:r>
              <w:rPr>
                <w:rFonts w:hint="eastAsia" w:ascii="楷体" w:hAnsi="楷体" w:eastAsia="楷体" w:cs="楷体"/>
                <w:b w:val="0"/>
                <w:bCs/>
                <w:sz w:val="24"/>
                <w:szCs w:val="24"/>
              </w:rPr>
              <w:t>顾客满意度≧90%</w:t>
            </w:r>
          </w:p>
          <w:p>
            <w:pPr>
              <w:widowControl/>
              <w:autoSpaceDE w:val="0"/>
              <w:autoSpaceDN w:val="0"/>
              <w:adjustRightInd w:val="0"/>
              <w:spacing w:before="76" w:line="240" w:lineRule="auto"/>
              <w:ind w:firstLine="1200" w:firstLineChars="500"/>
              <w:jc w:val="left"/>
              <w:rPr>
                <w:rFonts w:hint="eastAsia" w:ascii="楷体" w:hAnsi="楷体" w:eastAsia="楷体" w:cs="楷体"/>
                <w:b w:val="0"/>
                <w:bCs/>
                <w:kern w:val="0"/>
                <w:sz w:val="24"/>
                <w:szCs w:val="24"/>
              </w:rPr>
            </w:pPr>
            <w:r>
              <w:rPr>
                <w:rFonts w:hint="eastAsia" w:ascii="楷体" w:hAnsi="楷体" w:eastAsia="楷体" w:cs="楷体"/>
                <w:b w:val="0"/>
                <w:bCs/>
                <w:kern w:val="0"/>
                <w:sz w:val="24"/>
                <w:szCs w:val="24"/>
              </w:rPr>
              <w:t>生产中噪声、污水和气体达到零排放；</w:t>
            </w:r>
          </w:p>
          <w:p>
            <w:pPr>
              <w:widowControl/>
              <w:autoSpaceDE w:val="0"/>
              <w:autoSpaceDN w:val="0"/>
              <w:adjustRightInd w:val="0"/>
              <w:spacing w:before="110" w:line="240" w:lineRule="auto"/>
              <w:ind w:firstLine="1200" w:firstLineChars="500"/>
              <w:jc w:val="left"/>
              <w:rPr>
                <w:rFonts w:hint="eastAsia" w:ascii="楷体" w:hAnsi="楷体" w:eastAsia="楷体" w:cs="楷体"/>
                <w:b w:val="0"/>
                <w:bCs/>
                <w:kern w:val="0"/>
                <w:sz w:val="24"/>
                <w:szCs w:val="24"/>
              </w:rPr>
            </w:pPr>
            <w:r>
              <w:rPr>
                <w:rFonts w:hint="eastAsia" w:ascii="楷体" w:hAnsi="楷体" w:eastAsia="楷体" w:cs="楷体"/>
                <w:b w:val="0"/>
                <w:bCs/>
                <w:kern w:val="0"/>
                <w:sz w:val="24"/>
                <w:szCs w:val="24"/>
              </w:rPr>
              <w:t>生产产生的固体废物，100%回用。</w:t>
            </w:r>
          </w:p>
          <w:p>
            <w:pPr>
              <w:widowControl/>
              <w:autoSpaceDE w:val="0"/>
              <w:autoSpaceDN w:val="0"/>
              <w:adjustRightInd w:val="0"/>
              <w:spacing w:before="110" w:line="240" w:lineRule="auto"/>
              <w:ind w:firstLine="1200" w:firstLineChars="500"/>
              <w:jc w:val="left"/>
              <w:rPr>
                <w:rFonts w:hint="eastAsia" w:ascii="楷体" w:hAnsi="楷体" w:eastAsia="楷体" w:cs="楷体"/>
                <w:b w:val="0"/>
                <w:bCs/>
                <w:kern w:val="0"/>
                <w:sz w:val="24"/>
                <w:szCs w:val="24"/>
                <w:lang w:val="en-US" w:eastAsia="zh-CN"/>
              </w:rPr>
            </w:pPr>
            <w:r>
              <w:rPr>
                <w:rFonts w:hint="eastAsia" w:ascii="楷体" w:hAnsi="楷体" w:eastAsia="楷体" w:cs="楷体"/>
                <w:b w:val="0"/>
                <w:bCs/>
                <w:kern w:val="0"/>
                <w:sz w:val="24"/>
                <w:szCs w:val="24"/>
                <w:lang w:val="en-US" w:eastAsia="zh-CN"/>
              </w:rPr>
              <w:t>员工体检覆盖率100%</w:t>
            </w:r>
          </w:p>
          <w:p>
            <w:pPr>
              <w:spacing w:line="220" w:lineRule="atLeast"/>
              <w:ind w:firstLine="480" w:firstLineChars="200"/>
              <w:jc w:val="left"/>
              <w:rPr>
                <w:rFonts w:ascii="楷体" w:hAnsi="楷体" w:eastAsia="楷体"/>
                <w:color w:val="000000"/>
                <w:sz w:val="24"/>
                <w:szCs w:val="24"/>
              </w:rPr>
            </w:pPr>
            <w:r>
              <w:rPr>
                <w:rFonts w:hint="eastAsia" w:ascii="楷体" w:hAnsi="楷体" w:eastAsia="楷体"/>
                <w:sz w:val="24"/>
                <w:szCs w:val="24"/>
              </w:rPr>
              <w:t>组织</w:t>
            </w:r>
            <w:r>
              <w:rPr>
                <w:rFonts w:hint="eastAsia" w:ascii="楷体" w:hAnsi="楷体" w:eastAsia="楷体"/>
                <w:color w:val="000000"/>
                <w:sz w:val="24"/>
                <w:szCs w:val="24"/>
              </w:rPr>
              <w:t>对公司质量、环境、职业健康安全目标、指标予以分解，并在相关职能层次部门建立分目标，查见《质量</w:t>
            </w:r>
            <w:r>
              <w:rPr>
                <w:rFonts w:ascii="楷体" w:hAnsi="楷体" w:eastAsia="楷体"/>
                <w:color w:val="000000"/>
                <w:sz w:val="24"/>
                <w:szCs w:val="24"/>
              </w:rPr>
              <w:t>\</w:t>
            </w:r>
            <w:r>
              <w:rPr>
                <w:rFonts w:hint="eastAsia" w:ascii="楷体" w:hAnsi="楷体" w:eastAsia="楷体"/>
                <w:color w:val="000000"/>
                <w:sz w:val="24"/>
                <w:szCs w:val="24"/>
              </w:rPr>
              <w:t>环境</w:t>
            </w:r>
            <w:r>
              <w:rPr>
                <w:rFonts w:ascii="楷体" w:hAnsi="楷体" w:eastAsia="楷体"/>
                <w:color w:val="000000"/>
                <w:sz w:val="24"/>
                <w:szCs w:val="24"/>
              </w:rPr>
              <w:t>\</w:t>
            </w:r>
            <w:r>
              <w:rPr>
                <w:rFonts w:hint="eastAsia" w:ascii="楷体" w:hAnsi="楷体" w:eastAsia="楷体"/>
                <w:color w:val="000000"/>
                <w:sz w:val="24"/>
                <w:szCs w:val="24"/>
              </w:rPr>
              <w:t>职业健康安全目标分解考核表》，20</w:t>
            </w:r>
            <w:r>
              <w:rPr>
                <w:rFonts w:hint="eastAsia" w:ascii="楷体" w:hAnsi="楷体" w:eastAsia="楷体"/>
                <w:color w:val="000000"/>
                <w:sz w:val="24"/>
                <w:szCs w:val="24"/>
                <w:lang w:val="en-US" w:eastAsia="zh-CN"/>
              </w:rPr>
              <w:t>20.11月</w:t>
            </w:r>
            <w:r>
              <w:rPr>
                <w:rFonts w:hint="eastAsia" w:ascii="楷体" w:hAnsi="楷体" w:eastAsia="楷体"/>
                <w:color w:val="000000"/>
                <w:sz w:val="24"/>
                <w:szCs w:val="24"/>
              </w:rPr>
              <w:t>完成情况：</w:t>
            </w:r>
          </w:p>
          <w:p>
            <w:pPr>
              <w:spacing w:line="360" w:lineRule="auto"/>
              <w:rPr>
                <w:rFonts w:ascii="楷体" w:hAnsi="楷体" w:eastAsia="楷体"/>
                <w:sz w:val="24"/>
                <w:szCs w:val="24"/>
              </w:rPr>
            </w:pPr>
            <w:r>
              <w:pict>
                <v:shape id="_x0000_i1025" o:spt="75" type="#_x0000_t75" style="height:292.15pt;width:235.3pt;" filled="f" o:preferrelative="t" stroked="f" coordsize="21600,21600">
                  <v:path/>
                  <v:fill on="f" focussize="0,0"/>
                  <v:stroke on="f"/>
                  <v:imagedata r:id="rId6" o:title=""/>
                  <o:lock v:ext="edit" aspectratio="t"/>
                  <w10:wrap type="none"/>
                  <w10:anchorlock/>
                </v:shape>
              </w:pict>
            </w:r>
            <w:r>
              <w:pict>
                <v:shape id="_x0000_i1026" o:spt="75" type="#_x0000_t75" style="height:102.25pt;width:228.55pt;" filled="f" o:preferrelative="t" stroked="f" coordsize="21600,21600">
                  <v:path/>
                  <v:fill on="f" focussize="0,0"/>
                  <v:stroke on="f"/>
                  <v:imagedata r:id="rId7" o:title=""/>
                  <o:lock v:ext="edit" aspectratio="t"/>
                  <w10:wrap type="none"/>
                  <w10:anchorlock/>
                </v:shape>
              </w:pic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变更的策划</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6.3</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w:t>
            </w:r>
            <w:r>
              <w:rPr>
                <w:rFonts w:hint="eastAsia" w:ascii="楷体" w:hAnsi="楷体" w:eastAsia="楷体"/>
                <w:sz w:val="24"/>
                <w:szCs w:val="24"/>
                <w:lang w:eastAsia="zh-CN"/>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资源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 xml:space="preserve">7.1.1  </w:t>
            </w:r>
          </w:p>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7.1</w:t>
            </w: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总经理主持了今年的管理评审，对方针、目标的适宜性进行了评审，协助管代进行了内审，确保所需资源得到满足。</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为确保公司环保、安全资金得得以保障，公司每年制定专门预算，及时提供有关资金，确保本公司各项资金及时到位，保证环保、安全活动得到实施，达到预防污染、安全第一的活动目的。经了解</w:t>
            </w:r>
            <w:r>
              <w:rPr>
                <w:rFonts w:hint="eastAsia" w:ascii="楷体" w:hAnsi="楷体" w:eastAsia="楷体"/>
                <w:sz w:val="24"/>
                <w:szCs w:val="24"/>
                <w:lang w:val="en-US" w:eastAsia="zh-CN"/>
              </w:rPr>
              <w:t>体系运行至今</w:t>
            </w:r>
            <w:r>
              <w:rPr>
                <w:rFonts w:hint="eastAsia" w:ascii="楷体" w:hAnsi="楷体" w:eastAsia="楷体"/>
                <w:sz w:val="24"/>
                <w:szCs w:val="24"/>
              </w:rPr>
              <w:t>组织环保、安全主要投入到环保设施、固废分类处置、劳保、体检、消防、（高温补助、取暖费）福利费用等投入方面，至今支出约</w:t>
            </w:r>
            <w:r>
              <w:rPr>
                <w:rFonts w:hint="eastAsia" w:ascii="楷体" w:hAnsi="楷体" w:eastAsia="楷体"/>
                <w:color w:val="auto"/>
                <w:sz w:val="24"/>
                <w:szCs w:val="24"/>
                <w:lang w:val="en-US" w:eastAsia="zh-CN"/>
              </w:rPr>
              <w:t>15.37万</w:t>
            </w:r>
            <w:r>
              <w:rPr>
                <w:rFonts w:hint="eastAsia" w:ascii="楷体" w:hAnsi="楷体" w:eastAsia="楷体"/>
                <w:sz w:val="24"/>
                <w:szCs w:val="24"/>
              </w:rPr>
              <w:t>元。</w:t>
            </w:r>
          </w:p>
          <w:p>
            <w:pPr>
              <w:autoSpaceDE w:val="0"/>
              <w:autoSpaceDN w:val="0"/>
              <w:adjustRightInd w:val="0"/>
              <w:spacing w:line="360" w:lineRule="auto"/>
              <w:ind w:firstLine="480" w:firstLineChars="200"/>
              <w:rPr>
                <w:rFonts w:ascii="楷体" w:hAnsi="楷体" w:eastAsia="楷体"/>
                <w:sz w:val="24"/>
                <w:szCs w:val="24"/>
              </w:rPr>
            </w:pPr>
            <w:r>
              <w:rPr>
                <w:rFonts w:hint="eastAsia" w:ascii="楷体" w:hAnsi="楷体" w:eastAsia="楷体"/>
                <w:sz w:val="24"/>
                <w:szCs w:val="24"/>
              </w:rPr>
              <w:t>通过现场观察及与领导沟通了解到，公司为确保管理体系的有效运行和持续改进，确保满足顾客要求，增强顾客满意，确定并提供了必要的资源，目前车间、仓库和办公楼等资源配备基本能满足要求，机构设置合理。经过管理体系运行证明，现有资源可满足体系和产品的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公司目前的基础设施，能够满足当前三体系的要求。公司将依据经营发展的需要，会不断补充与增加。</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信息交流、沟通、</w:t>
            </w:r>
          </w:p>
          <w:p>
            <w:pPr>
              <w:spacing w:line="360" w:lineRule="auto"/>
              <w:rPr>
                <w:rFonts w:ascii="楷体" w:hAnsi="楷体" w:eastAsia="楷体"/>
                <w:sz w:val="24"/>
                <w:szCs w:val="24"/>
              </w:rPr>
            </w:pPr>
            <w:r>
              <w:rPr>
                <w:rFonts w:hint="eastAsia" w:ascii="楷体" w:hAnsi="楷体" w:eastAsia="楷体"/>
                <w:sz w:val="24"/>
                <w:szCs w:val="24"/>
              </w:rPr>
              <w:t>协商与参与、安全事务代表</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7.4  </w:t>
            </w:r>
          </w:p>
          <w:p>
            <w:pPr>
              <w:spacing w:line="360" w:lineRule="auto"/>
              <w:rPr>
                <w:rFonts w:ascii="楷体" w:hAnsi="楷体" w:eastAsia="楷体"/>
                <w:sz w:val="24"/>
                <w:szCs w:val="24"/>
              </w:rPr>
            </w:pPr>
            <w:r>
              <w:rPr>
                <w:rFonts w:ascii="楷体" w:hAnsi="楷体" w:eastAsia="楷体"/>
                <w:sz w:val="24"/>
                <w:szCs w:val="24"/>
              </w:rPr>
              <w:t>0</w:t>
            </w:r>
            <w:r>
              <w:rPr>
                <w:rFonts w:hint="eastAsia" w:ascii="楷体" w:hAnsi="楷体" w:eastAsia="楷体"/>
                <w:sz w:val="24"/>
                <w:szCs w:val="24"/>
              </w:rPr>
              <w:t>：</w:t>
            </w:r>
            <w:r>
              <w:rPr>
                <w:rFonts w:ascii="楷体" w:hAnsi="楷体" w:eastAsia="楷体"/>
                <w:sz w:val="24"/>
                <w:szCs w:val="24"/>
              </w:rPr>
              <w:t xml:space="preserve">5.4 </w:t>
            </w:r>
          </w:p>
        </w:tc>
        <w:tc>
          <w:tcPr>
            <w:tcW w:w="10004" w:type="dxa"/>
            <w:vAlign w:val="center"/>
          </w:tcPr>
          <w:p>
            <w:pPr>
              <w:spacing w:line="360" w:lineRule="auto"/>
              <w:ind w:firstLine="468"/>
              <w:rPr>
                <w:rFonts w:ascii="楷体" w:hAnsi="楷体" w:eastAsia="楷体"/>
                <w:sz w:val="24"/>
                <w:szCs w:val="24"/>
              </w:rPr>
            </w:pPr>
            <w:r>
              <w:rPr>
                <w:rFonts w:hint="eastAsia" w:ascii="楷体" w:hAnsi="楷体" w:eastAsia="楷体"/>
                <w:sz w:val="24"/>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周承荣</w:t>
            </w:r>
            <w:r>
              <w:rPr>
                <w:rFonts w:hint="eastAsia" w:ascii="楷体" w:hAnsi="楷体" w:eastAsia="楷体"/>
                <w:sz w:val="24"/>
                <w:szCs w:val="24"/>
              </w:rPr>
              <w:t>定期主持经营办公例会，分析公司的发展、市场情况和体系运行是否有效，管理目标完成情况，满足顾客要求和法规程度，改进建议等内部管理存在问题等。</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周承荣</w:t>
            </w:r>
            <w:r>
              <w:rPr>
                <w:rFonts w:hint="eastAsia" w:ascii="楷体" w:hAnsi="楷体" w:eastAsia="楷体"/>
                <w:sz w:val="24"/>
                <w:szCs w:val="24"/>
              </w:rPr>
              <w:t>为协商、参与提供了时间、机会、培训、资源等保障，明确了沟通、协商、参与渠道，消除了障碍和壁垒。</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管代</w:t>
            </w:r>
            <w:r>
              <w:rPr>
                <w:rFonts w:hint="eastAsia" w:ascii="楷体" w:hAnsi="楷体" w:eastAsia="楷体"/>
                <w:sz w:val="24"/>
                <w:szCs w:val="24"/>
                <w:lang w:val="en-US" w:eastAsia="zh-CN"/>
              </w:rPr>
              <w:t>邱远龙</w:t>
            </w:r>
            <w:r>
              <w:rPr>
                <w:rFonts w:hint="eastAsia" w:ascii="楷体" w:hAnsi="楷体" w:eastAsia="楷体"/>
                <w:sz w:val="24"/>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现场查见会议记录、通知通报、培训记录、文件签收等组织内部培训方式相关记录。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经交流：目前与环保、劳动、消防、安监部门的信息交流主要是参加会议、接收来文、电话、邮件等，均按要求予以传达和落实，沟通情况较好。</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相关人员能够适当参与并协商办理公司经营管理及安全事务等工作。</w:t>
            </w:r>
          </w:p>
          <w:p>
            <w:pPr>
              <w:tabs>
                <w:tab w:val="left" w:pos="9720"/>
                <w:tab w:val="left" w:pos="9900"/>
              </w:tabs>
              <w:spacing w:line="360" w:lineRule="auto"/>
              <w:ind w:firstLine="420"/>
              <w:rPr>
                <w:rFonts w:ascii="楷体" w:hAnsi="楷体" w:eastAsia="楷体"/>
                <w:sz w:val="24"/>
                <w:szCs w:val="24"/>
              </w:rPr>
            </w:pPr>
            <w:r>
              <w:rPr>
                <w:rFonts w:hint="eastAsia" w:ascii="楷体" w:hAnsi="楷体" w:eastAsia="楷体"/>
                <w:sz w:val="24"/>
                <w:szCs w:val="24"/>
              </w:rPr>
              <w:t>公司经选举确定职业健康安全事务代表是</w:t>
            </w:r>
            <w:r>
              <w:rPr>
                <w:rFonts w:hint="eastAsia" w:ascii="楷体" w:hAnsi="楷体" w:eastAsia="楷体"/>
                <w:sz w:val="24"/>
                <w:szCs w:val="24"/>
                <w:lang w:val="en-US" w:eastAsia="zh-CN"/>
              </w:rPr>
              <w:t>范小龙</w:t>
            </w:r>
            <w:r>
              <w:rPr>
                <w:rFonts w:hint="eastAsia" w:ascii="楷体" w:hAnsi="楷体" w:eastAsia="楷体"/>
                <w:sz w:val="24"/>
                <w:szCs w:val="24"/>
              </w:rPr>
              <w:t>，</w:t>
            </w:r>
          </w:p>
          <w:p>
            <w:pPr>
              <w:spacing w:line="360" w:lineRule="auto"/>
              <w:rPr>
                <w:rFonts w:ascii="楷体" w:hAnsi="楷体" w:eastAsia="楷体"/>
                <w:sz w:val="24"/>
                <w:szCs w:val="24"/>
              </w:rPr>
            </w:pPr>
            <w:r>
              <w:rPr>
                <w:rFonts w:ascii="楷体" w:hAnsi="楷体" w:eastAsia="楷体"/>
                <w:sz w:val="24"/>
                <w:szCs w:val="24"/>
              </w:rPr>
              <w:t>a</w:t>
            </w:r>
            <w:r>
              <w:rPr>
                <w:rFonts w:hint="eastAsia" w:ascii="楷体" w:hAnsi="楷体" w:eastAsia="楷体"/>
                <w:sz w:val="24"/>
                <w:szCs w:val="24"/>
              </w:rPr>
              <w:t>）负责职工代表大会的日常工作，检查、督促职工代表大会决议的执行；</w:t>
            </w:r>
            <w:r>
              <w:rPr>
                <w:rFonts w:ascii="楷体" w:hAnsi="楷体" w:eastAsia="楷体"/>
                <w:sz w:val="24"/>
                <w:szCs w:val="24"/>
              </w:rPr>
              <w:br w:type="textWrapping"/>
            </w:r>
            <w:r>
              <w:rPr>
                <w:rFonts w:ascii="楷体" w:hAnsi="楷体" w:eastAsia="楷体"/>
                <w:sz w:val="24"/>
                <w:szCs w:val="24"/>
              </w:rPr>
              <w:t>b</w:t>
            </w:r>
            <w:r>
              <w:rPr>
                <w:rFonts w:hint="eastAsia" w:ascii="楷体" w:hAnsi="楷体" w:eastAsia="楷体"/>
                <w:sz w:val="24"/>
                <w:szCs w:val="24"/>
              </w:rPr>
              <w:t>）负责召开讨论有关工资、福利、劳动安全卫生、社会保险等涉及职工切身利益的会议，代表员工反映员工的建议和意见；</w:t>
            </w:r>
          </w:p>
          <w:p>
            <w:pPr>
              <w:spacing w:line="360" w:lineRule="auto"/>
              <w:rPr>
                <w:rFonts w:ascii="楷体" w:hAnsi="楷体" w:eastAsia="楷体"/>
                <w:sz w:val="24"/>
                <w:szCs w:val="24"/>
              </w:rPr>
            </w:pPr>
            <w:r>
              <w:rPr>
                <w:rFonts w:ascii="楷体" w:hAnsi="楷体" w:eastAsia="楷体"/>
                <w:sz w:val="24"/>
                <w:szCs w:val="24"/>
              </w:rPr>
              <w:t>c</w:t>
            </w:r>
            <w:r>
              <w:rPr>
                <w:rFonts w:hint="eastAsia" w:ascii="楷体" w:hAnsi="楷体" w:eastAsia="楷体"/>
                <w:sz w:val="24"/>
                <w:szCs w:val="24"/>
              </w:rPr>
              <w:t>）接收、处理外部职业健康安全信息；</w:t>
            </w:r>
          </w:p>
          <w:p>
            <w:pPr>
              <w:spacing w:line="360" w:lineRule="auto"/>
              <w:rPr>
                <w:rFonts w:ascii="楷体" w:hAnsi="楷体" w:eastAsia="楷体"/>
                <w:sz w:val="24"/>
                <w:szCs w:val="24"/>
              </w:rPr>
            </w:pPr>
            <w:r>
              <w:rPr>
                <w:rFonts w:ascii="楷体" w:hAnsi="楷体" w:eastAsia="楷体"/>
                <w:sz w:val="24"/>
                <w:szCs w:val="24"/>
              </w:rPr>
              <w:t>d</w:t>
            </w:r>
            <w:r>
              <w:rPr>
                <w:rFonts w:hint="eastAsia" w:ascii="楷体" w:hAnsi="楷体" w:eastAsia="楷体"/>
                <w:sz w:val="24"/>
                <w:szCs w:val="24"/>
              </w:rPr>
              <w:t>）交流各级职能部门间产生的职业健康安全信息；</w:t>
            </w:r>
          </w:p>
          <w:p>
            <w:pPr>
              <w:spacing w:line="360" w:lineRule="auto"/>
              <w:rPr>
                <w:rFonts w:ascii="楷体" w:hAnsi="楷体" w:eastAsia="楷体"/>
                <w:sz w:val="24"/>
                <w:szCs w:val="24"/>
              </w:rPr>
            </w:pPr>
            <w:r>
              <w:rPr>
                <w:rFonts w:ascii="楷体" w:hAnsi="楷体" w:eastAsia="楷体"/>
                <w:sz w:val="24"/>
                <w:szCs w:val="24"/>
              </w:rPr>
              <w:t>e</w:t>
            </w:r>
            <w:r>
              <w:rPr>
                <w:rFonts w:hint="eastAsia" w:ascii="楷体" w:hAnsi="楷体" w:eastAsia="楷体"/>
                <w:sz w:val="24"/>
                <w:szCs w:val="24"/>
              </w:rPr>
              <w:t>）收集、处理和反馈员工所关心的职业健康安全问题；</w:t>
            </w:r>
          </w:p>
          <w:p>
            <w:pPr>
              <w:spacing w:line="360" w:lineRule="auto"/>
              <w:rPr>
                <w:rFonts w:ascii="楷体" w:hAnsi="楷体" w:eastAsia="楷体"/>
                <w:sz w:val="24"/>
                <w:szCs w:val="24"/>
              </w:rPr>
            </w:pPr>
            <w:r>
              <w:rPr>
                <w:rFonts w:ascii="楷体" w:hAnsi="楷体" w:eastAsia="楷体"/>
                <w:sz w:val="24"/>
                <w:szCs w:val="24"/>
              </w:rPr>
              <w:t>f</w:t>
            </w:r>
            <w:r>
              <w:rPr>
                <w:rFonts w:hint="eastAsia" w:ascii="楷体" w:hAnsi="楷体" w:eastAsia="楷体"/>
                <w:sz w:val="24"/>
                <w:szCs w:val="24"/>
              </w:rPr>
              <w:t>）参与职业健康安全工作方针和程序的制定、评审和实施；</w:t>
            </w:r>
          </w:p>
          <w:p>
            <w:pPr>
              <w:spacing w:line="360" w:lineRule="auto"/>
              <w:rPr>
                <w:rFonts w:ascii="楷体" w:hAnsi="楷体" w:eastAsia="楷体"/>
                <w:sz w:val="24"/>
                <w:szCs w:val="24"/>
              </w:rPr>
            </w:pPr>
            <w:r>
              <w:rPr>
                <w:rFonts w:ascii="楷体" w:hAnsi="楷体" w:eastAsia="楷体"/>
                <w:sz w:val="24"/>
                <w:szCs w:val="24"/>
              </w:rPr>
              <w:t>g</w:t>
            </w:r>
            <w:r>
              <w:rPr>
                <w:rFonts w:hint="eastAsia" w:ascii="楷体" w:hAnsi="楷体" w:eastAsia="楷体"/>
                <w:sz w:val="24"/>
                <w:szCs w:val="24"/>
              </w:rPr>
              <w:t>）参与影响作业场所人员职业健康安全的任何变化的讨论。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由于公司福利待遇正常发放，员工无抱怨，目前信息交流机制畅通。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现有的沟通渠道和方法能满足要求。审核中未发现因沟通不利不及时而造成（影响）某项工作不能正常运行的情况。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管理评审</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9.3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查看《管理评审程序》，基本符合要求。</w:t>
            </w:r>
            <w:r>
              <w:rPr>
                <w:rFonts w:ascii="楷体" w:hAnsi="楷体" w:eastAsia="楷体"/>
                <w:sz w:val="24"/>
                <w:szCs w:val="24"/>
              </w:rPr>
              <w:t>20</w:t>
            </w:r>
            <w:r>
              <w:rPr>
                <w:rFonts w:hint="eastAsia" w:ascii="楷体" w:hAnsi="楷体" w:eastAsia="楷体"/>
                <w:sz w:val="24"/>
                <w:szCs w:val="24"/>
                <w:lang w:val="en-US" w:eastAsia="zh-CN"/>
              </w:rPr>
              <w:t>20.9.28</w:t>
            </w:r>
            <w:r>
              <w:rPr>
                <w:rFonts w:hint="eastAsia" w:ascii="楷体" w:hAnsi="楷体" w:eastAsia="楷体"/>
                <w:sz w:val="24"/>
                <w:szCs w:val="24"/>
              </w:rPr>
              <w:t>日进行了管理评审。</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w:t>
            </w:r>
            <w:r>
              <w:rPr>
                <w:rFonts w:ascii="楷体" w:hAnsi="楷体" w:eastAsia="楷体"/>
                <w:sz w:val="24"/>
                <w:szCs w:val="24"/>
              </w:rPr>
              <w:t xml:space="preserve"> </w:t>
            </w:r>
            <w:r>
              <w:rPr>
                <w:rFonts w:hint="eastAsia" w:ascii="楷体" w:hAnsi="楷体" w:eastAsia="楷体"/>
                <w:sz w:val="24"/>
                <w:szCs w:val="24"/>
              </w:rPr>
              <w:t>“管理评审计划”，由</w:t>
            </w:r>
            <w:r>
              <w:rPr>
                <w:rFonts w:hint="eastAsia" w:ascii="楷体" w:hAnsi="楷体" w:eastAsia="楷体"/>
                <w:sz w:val="24"/>
                <w:szCs w:val="24"/>
                <w:lang w:val="en-US" w:eastAsia="zh-CN"/>
              </w:rPr>
              <w:t>周承荣</w:t>
            </w:r>
            <w:r>
              <w:rPr>
                <w:rFonts w:hint="eastAsia" w:ascii="楷体" w:hAnsi="楷体" w:eastAsia="楷体"/>
                <w:sz w:val="24"/>
                <w:szCs w:val="24"/>
              </w:rPr>
              <w:t>签发；内容包括；评审目的、评审时间、参加部门人员、评审输入内容等。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管理评审输入</w:t>
            </w:r>
            <w:r>
              <w:rPr>
                <w:rFonts w:ascii="楷体" w:hAnsi="楷体" w:eastAsia="楷体"/>
                <w:sz w:val="24"/>
                <w:szCs w:val="24"/>
              </w:rPr>
              <w:t>:</w:t>
            </w:r>
            <w:r>
              <w:rPr>
                <w:rFonts w:hint="eastAsia" w:ascii="楷体" w:hAnsi="楷体" w:eastAsia="楷体"/>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firstLine="480" w:firstLineChars="200"/>
              <w:rPr>
                <w:rFonts w:hint="eastAsia" w:ascii="楷体" w:hAnsi="楷体" w:eastAsia="楷体" w:cs="楷体"/>
                <w:i w:val="0"/>
                <w:sz w:val="24"/>
              </w:rPr>
            </w:pPr>
            <w:r>
              <w:rPr>
                <w:rFonts w:hint="eastAsia" w:ascii="楷体" w:hAnsi="楷体" w:eastAsia="楷体"/>
                <w:sz w:val="24"/>
                <w:szCs w:val="24"/>
              </w:rPr>
              <w:t>提出了</w:t>
            </w:r>
            <w:r>
              <w:rPr>
                <w:rFonts w:hint="eastAsia" w:ascii="楷体" w:hAnsi="楷体" w:eastAsia="楷体"/>
                <w:sz w:val="24"/>
                <w:szCs w:val="24"/>
                <w:lang w:val="en-US" w:eastAsia="zh-CN"/>
              </w:rPr>
              <w:t>3</w:t>
            </w:r>
            <w:r>
              <w:rPr>
                <w:rFonts w:hint="eastAsia" w:ascii="楷体" w:hAnsi="楷体" w:eastAsia="楷体"/>
                <w:sz w:val="24"/>
                <w:szCs w:val="24"/>
              </w:rPr>
              <w:t>项改进措施</w:t>
            </w:r>
            <w:r>
              <w:rPr>
                <w:rFonts w:ascii="楷体" w:hAnsi="楷体" w:eastAsia="楷体"/>
                <w:sz w:val="24"/>
                <w:szCs w:val="24"/>
              </w:rPr>
              <w:t>:</w:t>
            </w:r>
            <w:r>
              <w:rPr>
                <w:rFonts w:hint="eastAsia" w:ascii="楷体" w:hAnsi="楷体" w:eastAsia="楷体" w:cs="楷体"/>
                <w:i w:val="0"/>
                <w:sz w:val="24"/>
              </w:rPr>
              <w:t>a）由管理者代表负责对体系文件进行一次评审，针对文件中符合性和可操作性不够强的条款提出修改意见，批准后由综合管理部实施修改，并控制发放；</w:t>
            </w:r>
          </w:p>
          <w:p>
            <w:pPr>
              <w:spacing w:line="360" w:lineRule="auto"/>
              <w:ind w:firstLine="480"/>
              <w:rPr>
                <w:rFonts w:hint="eastAsia" w:ascii="楷体" w:hAnsi="楷体" w:eastAsia="楷体" w:cs="楷体"/>
                <w:i w:val="0"/>
                <w:sz w:val="24"/>
              </w:rPr>
            </w:pPr>
            <w:r>
              <w:rPr>
                <w:rFonts w:hint="eastAsia" w:ascii="楷体" w:hAnsi="楷体" w:eastAsia="楷体" w:cs="楷体"/>
                <w:i w:val="0"/>
                <w:sz w:val="24"/>
              </w:rPr>
              <w:t>b）生产技术部应制定具体有效措施严格产品生产过程控制，特别要加强特殊过程的控制，确保其满足要求；</w:t>
            </w:r>
          </w:p>
          <w:p>
            <w:pPr>
              <w:spacing w:line="360" w:lineRule="auto"/>
              <w:ind w:firstLine="480" w:firstLineChars="200"/>
              <w:rPr>
                <w:rFonts w:hint="eastAsia" w:ascii="楷体" w:hAnsi="楷体" w:eastAsia="楷体" w:cs="楷体"/>
                <w:i w:val="0"/>
                <w:sz w:val="24"/>
              </w:rPr>
            </w:pPr>
            <w:r>
              <w:rPr>
                <w:rFonts w:hint="eastAsia" w:ascii="楷体" w:hAnsi="楷体" w:eastAsia="楷体" w:cs="楷体"/>
                <w:i w:val="0"/>
                <w:sz w:val="24"/>
              </w:rPr>
              <w:t>C）由综合管理部负责组织员工再进行</w:t>
            </w:r>
            <w:r>
              <w:rPr>
                <w:rFonts w:hint="eastAsia" w:ascii="楷体" w:hAnsi="楷体" w:eastAsia="楷体" w:cs="楷体"/>
                <w:i w:val="0"/>
                <w:iCs/>
                <w:sz w:val="24"/>
                <w:lang w:val="en-US" w:eastAsia="zh-CN"/>
              </w:rPr>
              <w:t>GB/T</w:t>
            </w:r>
            <w:r>
              <w:rPr>
                <w:rFonts w:hint="eastAsia" w:ascii="楷体" w:hAnsi="楷体" w:eastAsia="楷体" w:cs="楷体"/>
                <w:i w:val="0"/>
                <w:iCs/>
                <w:sz w:val="24"/>
              </w:rPr>
              <w:t>9001：201</w:t>
            </w:r>
            <w:r>
              <w:rPr>
                <w:rFonts w:hint="eastAsia" w:ascii="楷体" w:hAnsi="楷体" w:eastAsia="楷体" w:cs="楷体"/>
                <w:i w:val="0"/>
                <w:iCs/>
                <w:sz w:val="24"/>
                <w:lang w:val="en-US" w:eastAsia="zh-CN"/>
              </w:rPr>
              <w:t>6、GB/T</w:t>
            </w:r>
            <w:r>
              <w:rPr>
                <w:rFonts w:hint="eastAsia" w:ascii="楷体" w:hAnsi="楷体" w:eastAsia="楷体" w:cs="楷体"/>
                <w:i w:val="0"/>
                <w:iCs/>
                <w:sz w:val="24"/>
              </w:rPr>
              <w:t>14001:201</w:t>
            </w:r>
            <w:r>
              <w:rPr>
                <w:rFonts w:hint="eastAsia" w:ascii="楷体" w:hAnsi="楷体" w:eastAsia="楷体" w:cs="楷体"/>
                <w:i w:val="0"/>
                <w:iCs/>
                <w:sz w:val="24"/>
                <w:lang w:val="en-US" w:eastAsia="zh-CN"/>
              </w:rPr>
              <w:t>6</w:t>
            </w:r>
            <w:r>
              <w:rPr>
                <w:rFonts w:hint="eastAsia" w:ascii="楷体" w:hAnsi="楷体" w:eastAsia="楷体" w:cs="楷体"/>
                <w:i w:val="0"/>
                <w:iCs/>
                <w:sz w:val="24"/>
              </w:rPr>
              <w:t>和ISO</w:t>
            </w:r>
            <w:r>
              <w:rPr>
                <w:rFonts w:hint="eastAsia" w:ascii="楷体" w:hAnsi="楷体" w:eastAsia="楷体" w:cs="楷体"/>
                <w:i w:val="0"/>
                <w:iCs/>
                <w:sz w:val="24"/>
                <w:lang w:val="en-US" w:eastAsia="zh-CN"/>
              </w:rPr>
              <w:t>45001:2018</w:t>
            </w:r>
            <w:r>
              <w:rPr>
                <w:rFonts w:hint="eastAsia" w:ascii="楷体" w:hAnsi="楷体" w:eastAsia="楷体" w:cs="楷体"/>
                <w:i w:val="0"/>
                <w:sz w:val="24"/>
              </w:rPr>
              <w:t>标准和公司体系文件的培训，并严格考核。</w:t>
            </w:r>
          </w:p>
          <w:p>
            <w:pPr>
              <w:spacing w:line="360" w:lineRule="auto"/>
              <w:rPr>
                <w:rFonts w:ascii="楷体" w:hAnsi="楷体" w:eastAsia="楷体"/>
                <w:sz w:val="24"/>
                <w:szCs w:val="24"/>
              </w:rPr>
            </w:pPr>
            <w:r>
              <w:rPr>
                <w:rFonts w:hint="eastAsia" w:ascii="楷体" w:hAnsi="楷体" w:eastAsia="楷体"/>
                <w:sz w:val="24"/>
                <w:szCs w:val="24"/>
              </w:rPr>
              <w:t>管理评审的策划及实施符合要求。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改进</w:t>
            </w:r>
          </w:p>
          <w:p>
            <w:pPr>
              <w:spacing w:line="360" w:lineRule="auto"/>
              <w:rPr>
                <w:rFonts w:ascii="楷体" w:hAnsi="楷体" w:eastAsia="楷体"/>
                <w:sz w:val="24"/>
                <w:szCs w:val="24"/>
              </w:rPr>
            </w:pP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10.1</w:t>
            </w:r>
            <w:r>
              <w:rPr>
                <w:rFonts w:hint="eastAsia" w:ascii="楷体" w:hAnsi="楷体" w:eastAsia="楷体"/>
                <w:sz w:val="24"/>
                <w:szCs w:val="24"/>
              </w:rPr>
              <w:t>、</w:t>
            </w:r>
            <w:r>
              <w:rPr>
                <w:rFonts w:ascii="楷体" w:hAnsi="楷体" w:eastAsia="楷体"/>
                <w:sz w:val="24"/>
                <w:szCs w:val="24"/>
              </w:rPr>
              <w:t>10.3</w:t>
            </w:r>
          </w:p>
          <w:p>
            <w:pPr>
              <w:spacing w:line="360" w:lineRule="auto"/>
              <w:rPr>
                <w:rFonts w:ascii="楷体" w:hAnsi="楷体" w:eastAsia="楷体"/>
                <w:sz w:val="24"/>
                <w:szCs w:val="24"/>
              </w:rPr>
            </w:pP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管理者代表根据总经理意图组织持续改进过程的策划工作，由</w:t>
            </w:r>
            <w:r>
              <w:rPr>
                <w:rFonts w:hint="eastAsia" w:ascii="楷体" w:hAnsi="楷体" w:eastAsia="楷体"/>
                <w:color w:val="000000"/>
                <w:sz w:val="24"/>
                <w:szCs w:val="24"/>
                <w:lang w:val="en-US" w:eastAsia="zh-CN"/>
              </w:rPr>
              <w:t>综合</w:t>
            </w:r>
            <w:r>
              <w:rPr>
                <w:rFonts w:hint="eastAsia" w:ascii="楷体" w:hAnsi="楷体" w:eastAsia="楷体"/>
                <w:color w:val="000000"/>
                <w:sz w:val="24"/>
                <w:szCs w:val="24"/>
              </w:rPr>
              <w:t>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09" w:type="dxa"/>
            <w:vAlign w:val="top"/>
          </w:tcPr>
          <w:p>
            <w:pPr>
              <w:spacing w:line="320" w:lineRule="exact"/>
              <w:rPr>
                <w:rFonts w:hint="eastAsia" w:ascii="楷体" w:hAnsi="楷体" w:eastAsia="楷体" w:cs="楷体"/>
                <w:sz w:val="24"/>
                <w:szCs w:val="24"/>
              </w:rPr>
            </w:pPr>
            <w:r>
              <w:rPr>
                <w:rFonts w:hint="eastAsia" w:ascii="楷体" w:hAnsi="楷体" w:eastAsia="楷体" w:cs="楷体"/>
                <w:color w:val="auto"/>
                <w:sz w:val="24"/>
                <w:szCs w:val="24"/>
              </w:rPr>
              <w:t>人数</w:t>
            </w:r>
          </w:p>
        </w:tc>
        <w:tc>
          <w:tcPr>
            <w:tcW w:w="1311" w:type="dxa"/>
            <w:vAlign w:val="top"/>
          </w:tcPr>
          <w:p>
            <w:pPr>
              <w:spacing w:line="320" w:lineRule="exact"/>
              <w:rPr>
                <w:rFonts w:hint="eastAsia" w:ascii="楷体" w:hAnsi="楷体" w:eastAsia="楷体" w:cs="楷体"/>
                <w:sz w:val="24"/>
                <w:szCs w:val="24"/>
              </w:rPr>
            </w:pPr>
          </w:p>
        </w:tc>
        <w:tc>
          <w:tcPr>
            <w:tcW w:w="10004" w:type="dxa"/>
            <w:vAlign w:val="center"/>
          </w:tcPr>
          <w:p>
            <w:pPr>
              <w:spacing w:line="320" w:lineRule="exact"/>
              <w:rPr>
                <w:rFonts w:hint="eastAsia" w:ascii="楷体" w:hAnsi="楷体" w:eastAsia="楷体" w:cs="楷体"/>
                <w:sz w:val="24"/>
                <w:szCs w:val="24"/>
              </w:rPr>
            </w:pPr>
            <w:r>
              <w:rPr>
                <w:rFonts w:hint="eastAsia" w:ascii="楷体" w:hAnsi="楷体" w:eastAsia="楷体" w:cs="楷体"/>
                <w:color w:val="auto"/>
                <w:sz w:val="24"/>
                <w:szCs w:val="24"/>
                <w:lang w:val="en-US" w:eastAsia="zh-CN"/>
              </w:rPr>
              <w:t>经与公司管理层确认，</w:t>
            </w:r>
            <w:r>
              <w:rPr>
                <w:rFonts w:hint="eastAsia" w:ascii="楷体" w:hAnsi="楷体" w:eastAsia="楷体" w:cs="楷体"/>
                <w:color w:val="auto"/>
                <w:sz w:val="24"/>
                <w:szCs w:val="24"/>
              </w:rPr>
              <w:t>公司现有员工</w:t>
            </w:r>
            <w:r>
              <w:rPr>
                <w:rFonts w:hint="eastAsia" w:ascii="楷体" w:hAnsi="楷体" w:eastAsia="楷体" w:cs="楷体"/>
                <w:color w:val="auto"/>
                <w:sz w:val="24"/>
                <w:szCs w:val="24"/>
                <w:lang w:val="en-US" w:eastAsia="zh-CN"/>
              </w:rPr>
              <w:t>50</w:t>
            </w:r>
            <w:r>
              <w:rPr>
                <w:rFonts w:hint="eastAsia" w:ascii="楷体" w:hAnsi="楷体" w:eastAsia="楷体" w:cs="楷体"/>
                <w:color w:val="auto"/>
                <w:sz w:val="24"/>
                <w:szCs w:val="24"/>
              </w:rPr>
              <w:t>人，与</w:t>
            </w:r>
            <w:r>
              <w:rPr>
                <w:rFonts w:hint="eastAsia" w:ascii="楷体" w:hAnsi="楷体" w:eastAsia="楷体" w:cs="楷体"/>
                <w:color w:val="auto"/>
                <w:sz w:val="24"/>
                <w:szCs w:val="24"/>
                <w:lang w:val="en-US" w:eastAsia="zh-CN"/>
              </w:rPr>
              <w:t>初期</w:t>
            </w:r>
            <w:r>
              <w:rPr>
                <w:rFonts w:hint="eastAsia" w:ascii="楷体" w:hAnsi="楷体" w:eastAsia="楷体" w:cs="楷体"/>
                <w:color w:val="auto"/>
                <w:sz w:val="24"/>
                <w:szCs w:val="24"/>
              </w:rPr>
              <w:t>申报管理体系</w:t>
            </w:r>
            <w:r>
              <w:rPr>
                <w:rFonts w:hint="eastAsia" w:ascii="楷体" w:hAnsi="楷体" w:eastAsia="楷体" w:cs="楷体"/>
                <w:color w:val="auto"/>
                <w:sz w:val="24"/>
                <w:szCs w:val="24"/>
                <w:lang w:val="en-US" w:eastAsia="zh-CN"/>
              </w:rPr>
              <w:t>50</w:t>
            </w:r>
            <w:r>
              <w:rPr>
                <w:rFonts w:hint="eastAsia" w:ascii="楷体" w:hAnsi="楷体" w:eastAsia="楷体" w:cs="楷体"/>
                <w:color w:val="auto"/>
                <w:sz w:val="24"/>
                <w:szCs w:val="24"/>
              </w:rPr>
              <w:t>人一致。</w:t>
            </w:r>
          </w:p>
        </w:tc>
        <w:tc>
          <w:tcPr>
            <w:tcW w:w="1585" w:type="dxa"/>
            <w:vAlign w:val="top"/>
          </w:tcPr>
          <w:p>
            <w:pPr>
              <w:spacing w:line="320" w:lineRule="exact"/>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vAlign w:val="top"/>
          </w:tcPr>
          <w:p>
            <w:pPr>
              <w:spacing w:line="320" w:lineRule="exact"/>
              <w:rPr>
                <w:rFonts w:hint="eastAsia" w:ascii="楷体" w:hAnsi="楷体" w:eastAsia="楷体" w:cs="楷体"/>
                <w:sz w:val="24"/>
                <w:szCs w:val="24"/>
              </w:rPr>
            </w:pPr>
            <w:r>
              <w:rPr>
                <w:rFonts w:hint="eastAsia" w:ascii="楷体" w:hAnsi="楷体" w:eastAsia="楷体" w:cs="楷体"/>
                <w:color w:val="auto"/>
                <w:sz w:val="24"/>
                <w:szCs w:val="24"/>
              </w:rPr>
              <w:t>事故</w:t>
            </w:r>
          </w:p>
        </w:tc>
        <w:tc>
          <w:tcPr>
            <w:tcW w:w="1311" w:type="dxa"/>
            <w:vAlign w:val="top"/>
          </w:tcPr>
          <w:p>
            <w:pPr>
              <w:spacing w:line="320" w:lineRule="exact"/>
              <w:rPr>
                <w:rFonts w:hint="eastAsia" w:ascii="楷体" w:hAnsi="楷体" w:eastAsia="楷体" w:cs="楷体"/>
                <w:sz w:val="24"/>
                <w:szCs w:val="24"/>
              </w:rPr>
            </w:pPr>
          </w:p>
        </w:tc>
        <w:tc>
          <w:tcPr>
            <w:tcW w:w="10004" w:type="dxa"/>
            <w:vAlign w:val="center"/>
          </w:tcPr>
          <w:p>
            <w:pPr>
              <w:spacing w:line="320" w:lineRule="exact"/>
              <w:rPr>
                <w:rFonts w:hint="eastAsia" w:ascii="楷体" w:hAnsi="楷体" w:eastAsia="楷体" w:cs="楷体"/>
                <w:sz w:val="24"/>
                <w:szCs w:val="24"/>
              </w:rPr>
            </w:pPr>
            <w:r>
              <w:rPr>
                <w:rFonts w:hint="eastAsia" w:ascii="楷体" w:hAnsi="楷体" w:eastAsia="楷体" w:cs="楷体"/>
                <w:color w:val="auto"/>
                <w:sz w:val="24"/>
                <w:szCs w:val="24"/>
              </w:rPr>
              <w:t>公司管理体系自运行以来，未发生质量、环境、职业健康安全事故</w:t>
            </w:r>
          </w:p>
        </w:tc>
        <w:tc>
          <w:tcPr>
            <w:tcW w:w="1585" w:type="dxa"/>
            <w:vAlign w:val="top"/>
          </w:tcPr>
          <w:p>
            <w:pPr>
              <w:spacing w:line="320" w:lineRule="exact"/>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vAlign w:val="top"/>
          </w:tcPr>
          <w:p>
            <w:pPr>
              <w:spacing w:line="320" w:lineRule="exact"/>
              <w:rPr>
                <w:rFonts w:hint="eastAsia" w:ascii="楷体" w:hAnsi="楷体" w:eastAsia="楷体" w:cs="楷体"/>
                <w:sz w:val="24"/>
                <w:szCs w:val="24"/>
              </w:rPr>
            </w:pPr>
            <w:r>
              <w:rPr>
                <w:rFonts w:hint="eastAsia" w:ascii="楷体" w:hAnsi="楷体" w:eastAsia="楷体" w:cs="楷体"/>
                <w:color w:val="auto"/>
                <w:sz w:val="24"/>
                <w:szCs w:val="24"/>
              </w:rPr>
              <w:t>顾客投诉</w:t>
            </w:r>
          </w:p>
        </w:tc>
        <w:tc>
          <w:tcPr>
            <w:tcW w:w="1311" w:type="dxa"/>
            <w:vAlign w:val="top"/>
          </w:tcPr>
          <w:p>
            <w:pPr>
              <w:spacing w:line="320" w:lineRule="exact"/>
              <w:rPr>
                <w:rFonts w:hint="eastAsia" w:ascii="楷体" w:hAnsi="楷体" w:eastAsia="楷体" w:cs="楷体"/>
                <w:sz w:val="24"/>
                <w:szCs w:val="24"/>
              </w:rPr>
            </w:pPr>
          </w:p>
        </w:tc>
        <w:tc>
          <w:tcPr>
            <w:tcW w:w="10004" w:type="dxa"/>
            <w:vAlign w:val="center"/>
          </w:tcPr>
          <w:p>
            <w:pPr>
              <w:spacing w:line="320" w:lineRule="exact"/>
              <w:rPr>
                <w:rFonts w:hint="eastAsia" w:ascii="楷体" w:hAnsi="楷体" w:eastAsia="楷体" w:cs="楷体"/>
                <w:sz w:val="24"/>
                <w:szCs w:val="24"/>
              </w:rPr>
            </w:pPr>
            <w:r>
              <w:rPr>
                <w:rFonts w:hint="eastAsia" w:ascii="楷体" w:hAnsi="楷体" w:eastAsia="楷体" w:cs="楷体"/>
                <w:color w:val="auto"/>
                <w:sz w:val="24"/>
                <w:szCs w:val="24"/>
              </w:rPr>
              <w:t>管理体系运行期间未发生顾客及相关方投诉情况</w:t>
            </w:r>
          </w:p>
        </w:tc>
        <w:tc>
          <w:tcPr>
            <w:tcW w:w="1585" w:type="dxa"/>
            <w:vAlign w:val="top"/>
          </w:tcPr>
          <w:p>
            <w:pPr>
              <w:spacing w:line="320" w:lineRule="exact"/>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vAlign w:val="top"/>
          </w:tcPr>
          <w:p>
            <w:pPr>
              <w:spacing w:line="320" w:lineRule="exact"/>
              <w:rPr>
                <w:rFonts w:hint="eastAsia" w:ascii="楷体" w:hAnsi="楷体" w:eastAsia="楷体" w:cs="楷体"/>
                <w:sz w:val="24"/>
                <w:szCs w:val="24"/>
              </w:rPr>
            </w:pPr>
            <w:r>
              <w:rPr>
                <w:rFonts w:hint="eastAsia" w:ascii="楷体" w:hAnsi="楷体" w:eastAsia="楷体" w:cs="楷体"/>
                <w:color w:val="auto"/>
                <w:sz w:val="24"/>
                <w:szCs w:val="24"/>
              </w:rPr>
              <w:t>上级主管单位监督抽查</w:t>
            </w:r>
          </w:p>
        </w:tc>
        <w:tc>
          <w:tcPr>
            <w:tcW w:w="1311" w:type="dxa"/>
            <w:vAlign w:val="top"/>
          </w:tcPr>
          <w:p>
            <w:pPr>
              <w:spacing w:line="320" w:lineRule="exact"/>
              <w:rPr>
                <w:rFonts w:hint="eastAsia" w:ascii="楷体" w:hAnsi="楷体" w:eastAsia="楷体" w:cs="楷体"/>
                <w:sz w:val="24"/>
                <w:szCs w:val="24"/>
              </w:rPr>
            </w:pPr>
          </w:p>
        </w:tc>
        <w:tc>
          <w:tcPr>
            <w:tcW w:w="10004" w:type="dxa"/>
            <w:vAlign w:val="center"/>
          </w:tcPr>
          <w:p>
            <w:pPr>
              <w:spacing w:line="320" w:lineRule="exact"/>
              <w:rPr>
                <w:rFonts w:hint="eastAsia" w:ascii="楷体" w:hAnsi="楷体" w:eastAsia="楷体" w:cs="楷体"/>
                <w:sz w:val="24"/>
                <w:szCs w:val="24"/>
              </w:rPr>
            </w:pPr>
            <w:r>
              <w:rPr>
                <w:rFonts w:hint="eastAsia" w:ascii="楷体" w:hAnsi="楷体" w:eastAsia="楷体" w:cs="楷体"/>
                <w:color w:val="auto"/>
                <w:sz w:val="24"/>
                <w:szCs w:val="24"/>
              </w:rPr>
              <w:t>目前没有上级主管部门对公司的在质量、环境、职业健康安全监督抽查</w:t>
            </w:r>
          </w:p>
        </w:tc>
        <w:tc>
          <w:tcPr>
            <w:tcW w:w="1585" w:type="dxa"/>
            <w:vAlign w:val="top"/>
          </w:tcPr>
          <w:p>
            <w:pPr>
              <w:spacing w:line="320" w:lineRule="exact"/>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vAlign w:val="top"/>
          </w:tcPr>
          <w:p>
            <w:pPr>
              <w:spacing w:line="320" w:lineRule="exact"/>
              <w:rPr>
                <w:rFonts w:hint="eastAsia" w:ascii="楷体" w:hAnsi="楷体" w:eastAsia="楷体" w:cs="楷体"/>
                <w:sz w:val="24"/>
                <w:szCs w:val="24"/>
              </w:rPr>
            </w:pPr>
            <w:r>
              <w:rPr>
                <w:rFonts w:hint="eastAsia" w:ascii="楷体" w:hAnsi="楷体" w:eastAsia="楷体" w:cs="楷体"/>
                <w:color w:val="auto"/>
                <w:sz w:val="24"/>
                <w:szCs w:val="24"/>
              </w:rPr>
              <w:t>遵纪守法情况</w:t>
            </w:r>
          </w:p>
        </w:tc>
        <w:tc>
          <w:tcPr>
            <w:tcW w:w="1311" w:type="dxa"/>
            <w:vAlign w:val="top"/>
          </w:tcPr>
          <w:p>
            <w:pPr>
              <w:spacing w:line="320" w:lineRule="exact"/>
              <w:rPr>
                <w:rFonts w:hint="eastAsia" w:ascii="楷体" w:hAnsi="楷体" w:eastAsia="楷体" w:cs="楷体"/>
                <w:sz w:val="24"/>
                <w:szCs w:val="24"/>
              </w:rPr>
            </w:pPr>
          </w:p>
        </w:tc>
        <w:tc>
          <w:tcPr>
            <w:tcW w:w="10004" w:type="dxa"/>
            <w:vAlign w:val="top"/>
          </w:tcPr>
          <w:p>
            <w:pPr>
              <w:spacing w:line="320" w:lineRule="exact"/>
              <w:rPr>
                <w:rFonts w:hint="eastAsia" w:ascii="楷体" w:hAnsi="楷体" w:eastAsia="楷体" w:cs="楷体"/>
                <w:sz w:val="24"/>
                <w:szCs w:val="24"/>
              </w:rPr>
            </w:pPr>
            <w:r>
              <w:rPr>
                <w:rFonts w:hint="eastAsia" w:ascii="楷体" w:hAnsi="楷体" w:eastAsia="楷体" w:cs="楷体"/>
                <w:color w:val="auto"/>
                <w:sz w:val="24"/>
                <w:szCs w:val="24"/>
              </w:rPr>
              <w:t>目前公司经营过程中没有发生违反相关法律法规及其他要求的情况，提供了守法证明。</w:t>
            </w:r>
          </w:p>
        </w:tc>
        <w:tc>
          <w:tcPr>
            <w:tcW w:w="1585" w:type="dxa"/>
            <w:vAlign w:val="top"/>
          </w:tcPr>
          <w:p>
            <w:pPr>
              <w:spacing w:line="320" w:lineRule="exact"/>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vAlign w:val="top"/>
          </w:tcPr>
          <w:p>
            <w:pPr>
              <w:spacing w:line="320" w:lineRule="exact"/>
              <w:rPr>
                <w:rFonts w:hint="eastAsia" w:ascii="楷体" w:hAnsi="楷体" w:eastAsia="楷体" w:cs="楷体"/>
                <w:sz w:val="24"/>
                <w:szCs w:val="24"/>
              </w:rPr>
            </w:pPr>
            <w:r>
              <w:rPr>
                <w:rFonts w:hint="eastAsia" w:ascii="楷体" w:hAnsi="楷体" w:eastAsia="楷体" w:cs="楷体"/>
                <w:color w:val="auto"/>
                <w:sz w:val="24"/>
                <w:szCs w:val="24"/>
              </w:rPr>
              <w:t>一阶段问题整改</w:t>
            </w:r>
          </w:p>
        </w:tc>
        <w:tc>
          <w:tcPr>
            <w:tcW w:w="1311" w:type="dxa"/>
            <w:vAlign w:val="top"/>
          </w:tcPr>
          <w:p>
            <w:pPr>
              <w:spacing w:line="320" w:lineRule="exact"/>
              <w:rPr>
                <w:rFonts w:hint="eastAsia" w:ascii="楷体" w:hAnsi="楷体" w:eastAsia="楷体" w:cs="楷体"/>
                <w:sz w:val="24"/>
                <w:szCs w:val="24"/>
              </w:rPr>
            </w:pPr>
          </w:p>
        </w:tc>
        <w:tc>
          <w:tcPr>
            <w:tcW w:w="10004" w:type="dxa"/>
            <w:vAlign w:val="center"/>
          </w:tcPr>
          <w:p>
            <w:pPr>
              <w:spacing w:line="320" w:lineRule="exact"/>
              <w:rPr>
                <w:rFonts w:hint="eastAsia" w:ascii="楷体" w:hAnsi="楷体" w:eastAsia="楷体" w:cs="楷体"/>
                <w:sz w:val="24"/>
                <w:szCs w:val="24"/>
                <w:lang w:eastAsia="zh-CN"/>
              </w:rPr>
            </w:pPr>
            <w:r>
              <w:rPr>
                <w:rFonts w:hint="eastAsia" w:ascii="楷体" w:hAnsi="楷体" w:eastAsia="楷体" w:cs="楷体"/>
                <w:color w:val="auto"/>
                <w:sz w:val="24"/>
                <w:szCs w:val="24"/>
                <w:lang w:val="en-US" w:eastAsia="zh-CN"/>
              </w:rPr>
              <w:t>无</w:t>
            </w:r>
          </w:p>
        </w:tc>
        <w:tc>
          <w:tcPr>
            <w:tcW w:w="1585" w:type="dxa"/>
            <w:vAlign w:val="top"/>
          </w:tcPr>
          <w:p>
            <w:pPr>
              <w:spacing w:line="320" w:lineRule="exact"/>
              <w:rPr>
                <w:rFonts w:hint="eastAsia" w:ascii="楷体" w:hAnsi="楷体" w:eastAsia="楷体" w:cs="楷体"/>
                <w:sz w:val="24"/>
                <w:szCs w:val="24"/>
              </w:rPr>
            </w:pPr>
          </w:p>
        </w:tc>
      </w:tr>
    </w:tbl>
    <w:p>
      <w:pPr>
        <w:jc w:val="center"/>
        <w:rPr>
          <w:rFonts w:ascii="楷体" w:hAnsi="楷体" w:eastAsia="楷体"/>
        </w:rPr>
      </w:pPr>
      <w:r>
        <w:rPr>
          <w:rFonts w:ascii="楷体" w:hAnsi="楷体" w:eastAsia="楷体"/>
        </w:rPr>
        <w:br w:type="textWrapping" w:clear="all"/>
      </w:r>
    </w:p>
    <w:p>
      <w:pPr>
        <w:pStyle w:val="5"/>
        <w:rPr>
          <w:rFonts w:ascii="楷体" w:hAnsi="楷体" w:eastAsia="楷体"/>
        </w:rPr>
      </w:pPr>
      <w:r>
        <w:rPr>
          <w:rFonts w:hint="eastAsia" w:ascii="楷体" w:hAnsi="楷体" w:eastAsia="楷体"/>
        </w:rPr>
        <w:t>说明：不符合标注</w:t>
      </w:r>
      <w:r>
        <w:rPr>
          <w:rFonts w:ascii="楷体" w:hAnsi="楷体" w:eastAsia="楷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2"/>
        <w:rFonts w:hint="eastAsia"/>
      </w:rPr>
      <w:t>北京国标联合认证有限公司</w:t>
    </w:r>
    <w:r>
      <w:rPr>
        <w:rStyle w:val="12"/>
      </w:rPr>
      <w:tab/>
    </w:r>
    <w:r>
      <w:rPr>
        <w:rStyle w:val="12"/>
      </w:rPr>
      <w:tab/>
    </w:r>
    <w:r>
      <w:rPr>
        <w:rStyle w:val="12"/>
      </w:rPr>
      <w:tab/>
    </w:r>
  </w:p>
  <w:p>
    <w:pPr>
      <w:pStyle w:val="6"/>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2"/>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359BA"/>
    <w:rsid w:val="000412F6"/>
    <w:rsid w:val="0005199E"/>
    <w:rsid w:val="0005697E"/>
    <w:rsid w:val="000579CF"/>
    <w:rsid w:val="00060B56"/>
    <w:rsid w:val="00075D48"/>
    <w:rsid w:val="00082216"/>
    <w:rsid w:val="00082398"/>
    <w:rsid w:val="000849D2"/>
    <w:rsid w:val="00087F9D"/>
    <w:rsid w:val="0009309C"/>
    <w:rsid w:val="000A5E44"/>
    <w:rsid w:val="000B1394"/>
    <w:rsid w:val="000B40BD"/>
    <w:rsid w:val="000B51BD"/>
    <w:rsid w:val="000C0F8E"/>
    <w:rsid w:val="000C123B"/>
    <w:rsid w:val="000D2C19"/>
    <w:rsid w:val="000D5401"/>
    <w:rsid w:val="000D697A"/>
    <w:rsid w:val="000E2B69"/>
    <w:rsid w:val="000E4738"/>
    <w:rsid w:val="000E7EF7"/>
    <w:rsid w:val="000F35F1"/>
    <w:rsid w:val="000F7D53"/>
    <w:rsid w:val="001022F1"/>
    <w:rsid w:val="001037D5"/>
    <w:rsid w:val="00115415"/>
    <w:rsid w:val="00123C03"/>
    <w:rsid w:val="00145688"/>
    <w:rsid w:val="0015654D"/>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2117"/>
    <w:rsid w:val="002651A6"/>
    <w:rsid w:val="00275A8E"/>
    <w:rsid w:val="00294682"/>
    <w:rsid w:val="002973F0"/>
    <w:rsid w:val="002975C1"/>
    <w:rsid w:val="002A0E6E"/>
    <w:rsid w:val="002A33CC"/>
    <w:rsid w:val="002B1808"/>
    <w:rsid w:val="002C1ACE"/>
    <w:rsid w:val="002C3E0D"/>
    <w:rsid w:val="002D41FB"/>
    <w:rsid w:val="002E0587"/>
    <w:rsid w:val="002E1E1D"/>
    <w:rsid w:val="00317401"/>
    <w:rsid w:val="00326FC1"/>
    <w:rsid w:val="00337922"/>
    <w:rsid w:val="00337BBE"/>
    <w:rsid w:val="00340867"/>
    <w:rsid w:val="00342857"/>
    <w:rsid w:val="00347E99"/>
    <w:rsid w:val="003563A3"/>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3F5FB6"/>
    <w:rsid w:val="003F667B"/>
    <w:rsid w:val="00400B59"/>
    <w:rsid w:val="00400B96"/>
    <w:rsid w:val="00405D5F"/>
    <w:rsid w:val="00410914"/>
    <w:rsid w:val="00415AA3"/>
    <w:rsid w:val="00420C60"/>
    <w:rsid w:val="00424936"/>
    <w:rsid w:val="00430432"/>
    <w:rsid w:val="00433759"/>
    <w:rsid w:val="0043494E"/>
    <w:rsid w:val="004414A5"/>
    <w:rsid w:val="00456697"/>
    <w:rsid w:val="004607C4"/>
    <w:rsid w:val="00463661"/>
    <w:rsid w:val="00465FE1"/>
    <w:rsid w:val="00475491"/>
    <w:rsid w:val="004869FB"/>
    <w:rsid w:val="00491735"/>
    <w:rsid w:val="00492B9E"/>
    <w:rsid w:val="00494A46"/>
    <w:rsid w:val="004978D0"/>
    <w:rsid w:val="004B217F"/>
    <w:rsid w:val="004B3E7F"/>
    <w:rsid w:val="004C07FE"/>
    <w:rsid w:val="004C6045"/>
    <w:rsid w:val="004D3E4C"/>
    <w:rsid w:val="004F185D"/>
    <w:rsid w:val="005020FF"/>
    <w:rsid w:val="005056ED"/>
    <w:rsid w:val="00517E4C"/>
    <w:rsid w:val="00521CF0"/>
    <w:rsid w:val="00525D6B"/>
    <w:rsid w:val="0053208B"/>
    <w:rsid w:val="00534814"/>
    <w:rsid w:val="00536930"/>
    <w:rsid w:val="00551AE7"/>
    <w:rsid w:val="005558E4"/>
    <w:rsid w:val="00556AF4"/>
    <w:rsid w:val="00560A2A"/>
    <w:rsid w:val="00564E53"/>
    <w:rsid w:val="005779A8"/>
    <w:rsid w:val="00583277"/>
    <w:rsid w:val="00592C3E"/>
    <w:rsid w:val="005A000F"/>
    <w:rsid w:val="005A62C7"/>
    <w:rsid w:val="005B173D"/>
    <w:rsid w:val="005B6888"/>
    <w:rsid w:val="005C570F"/>
    <w:rsid w:val="005C7367"/>
    <w:rsid w:val="005D7FAE"/>
    <w:rsid w:val="005F6C65"/>
    <w:rsid w:val="00600F02"/>
    <w:rsid w:val="0060444D"/>
    <w:rsid w:val="0062382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141"/>
    <w:rsid w:val="006C24BF"/>
    <w:rsid w:val="006C40B9"/>
    <w:rsid w:val="006D790F"/>
    <w:rsid w:val="006E678B"/>
    <w:rsid w:val="0070367F"/>
    <w:rsid w:val="00712F3C"/>
    <w:rsid w:val="007170AA"/>
    <w:rsid w:val="007177FF"/>
    <w:rsid w:val="00725123"/>
    <w:rsid w:val="00732B66"/>
    <w:rsid w:val="007379CA"/>
    <w:rsid w:val="00737C8F"/>
    <w:rsid w:val="007406DE"/>
    <w:rsid w:val="00742F4E"/>
    <w:rsid w:val="00743E79"/>
    <w:rsid w:val="00744BEA"/>
    <w:rsid w:val="00751532"/>
    <w:rsid w:val="00751C37"/>
    <w:rsid w:val="0075769B"/>
    <w:rsid w:val="00770EF9"/>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54B55"/>
    <w:rsid w:val="00855B26"/>
    <w:rsid w:val="0086215B"/>
    <w:rsid w:val="008646DE"/>
    <w:rsid w:val="00864902"/>
    <w:rsid w:val="00864BE7"/>
    <w:rsid w:val="00865200"/>
    <w:rsid w:val="00871695"/>
    <w:rsid w:val="0087271A"/>
    <w:rsid w:val="00891C25"/>
    <w:rsid w:val="008931BD"/>
    <w:rsid w:val="008973EE"/>
    <w:rsid w:val="008B7537"/>
    <w:rsid w:val="008D089D"/>
    <w:rsid w:val="008E1006"/>
    <w:rsid w:val="008E24A5"/>
    <w:rsid w:val="008F0B04"/>
    <w:rsid w:val="008F0CAC"/>
    <w:rsid w:val="008F7C55"/>
    <w:rsid w:val="00930694"/>
    <w:rsid w:val="009319B4"/>
    <w:rsid w:val="0093521F"/>
    <w:rsid w:val="00945677"/>
    <w:rsid w:val="00955B84"/>
    <w:rsid w:val="00962F78"/>
    <w:rsid w:val="0096609F"/>
    <w:rsid w:val="009701C1"/>
    <w:rsid w:val="00971600"/>
    <w:rsid w:val="0098280C"/>
    <w:rsid w:val="00984342"/>
    <w:rsid w:val="009973B4"/>
    <w:rsid w:val="00997D09"/>
    <w:rsid w:val="009B6E9B"/>
    <w:rsid w:val="009B7EB8"/>
    <w:rsid w:val="009C74D1"/>
    <w:rsid w:val="009E30DA"/>
    <w:rsid w:val="009E6193"/>
    <w:rsid w:val="009E7DD1"/>
    <w:rsid w:val="009F7EED"/>
    <w:rsid w:val="00A036B5"/>
    <w:rsid w:val="00A138EC"/>
    <w:rsid w:val="00A22676"/>
    <w:rsid w:val="00A35B04"/>
    <w:rsid w:val="00A60F0B"/>
    <w:rsid w:val="00A62E27"/>
    <w:rsid w:val="00A73DCA"/>
    <w:rsid w:val="00A801DE"/>
    <w:rsid w:val="00A90A22"/>
    <w:rsid w:val="00A97734"/>
    <w:rsid w:val="00AA7F40"/>
    <w:rsid w:val="00AB41FC"/>
    <w:rsid w:val="00AB6C35"/>
    <w:rsid w:val="00AB7D2F"/>
    <w:rsid w:val="00AD6F34"/>
    <w:rsid w:val="00AF0AAB"/>
    <w:rsid w:val="00AF156F"/>
    <w:rsid w:val="00AF616B"/>
    <w:rsid w:val="00AF70E8"/>
    <w:rsid w:val="00B02A7F"/>
    <w:rsid w:val="00B0685B"/>
    <w:rsid w:val="00B218ED"/>
    <w:rsid w:val="00B22D22"/>
    <w:rsid w:val="00B23030"/>
    <w:rsid w:val="00B237B9"/>
    <w:rsid w:val="00B23CAA"/>
    <w:rsid w:val="00B410EE"/>
    <w:rsid w:val="00B47338"/>
    <w:rsid w:val="00B8202D"/>
    <w:rsid w:val="00B90662"/>
    <w:rsid w:val="00B91BD2"/>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1880"/>
    <w:rsid w:val="00D54940"/>
    <w:rsid w:val="00D55E69"/>
    <w:rsid w:val="00D562F6"/>
    <w:rsid w:val="00D5672E"/>
    <w:rsid w:val="00D67D5E"/>
    <w:rsid w:val="00D8388C"/>
    <w:rsid w:val="00DA0DF0"/>
    <w:rsid w:val="00DA32AB"/>
    <w:rsid w:val="00DA50ED"/>
    <w:rsid w:val="00DB5DEA"/>
    <w:rsid w:val="00DD0ED1"/>
    <w:rsid w:val="00DD1C8E"/>
    <w:rsid w:val="00DD466D"/>
    <w:rsid w:val="00DE146D"/>
    <w:rsid w:val="00DE2D80"/>
    <w:rsid w:val="00DE6FCE"/>
    <w:rsid w:val="00DF76DB"/>
    <w:rsid w:val="00E038E4"/>
    <w:rsid w:val="00E03908"/>
    <w:rsid w:val="00E13D9A"/>
    <w:rsid w:val="00E22EC1"/>
    <w:rsid w:val="00E32D13"/>
    <w:rsid w:val="00E43822"/>
    <w:rsid w:val="00E54035"/>
    <w:rsid w:val="00E574D6"/>
    <w:rsid w:val="00E62552"/>
    <w:rsid w:val="00E62996"/>
    <w:rsid w:val="00E63714"/>
    <w:rsid w:val="00E64A51"/>
    <w:rsid w:val="00E676F9"/>
    <w:rsid w:val="00E81B88"/>
    <w:rsid w:val="00E910C0"/>
    <w:rsid w:val="00E97424"/>
    <w:rsid w:val="00EA1DD9"/>
    <w:rsid w:val="00EA55F7"/>
    <w:rsid w:val="00EB0164"/>
    <w:rsid w:val="00EB5DF5"/>
    <w:rsid w:val="00EB65F7"/>
    <w:rsid w:val="00EC42F5"/>
    <w:rsid w:val="00ED0F62"/>
    <w:rsid w:val="00ED2ED6"/>
    <w:rsid w:val="00ED3D25"/>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15B5"/>
    <w:rsid w:val="00FD2869"/>
    <w:rsid w:val="00FD5EE5"/>
    <w:rsid w:val="00FD72A6"/>
    <w:rsid w:val="00FE09C9"/>
    <w:rsid w:val="0A4A0FBA"/>
    <w:rsid w:val="108219C2"/>
    <w:rsid w:val="18DA4B79"/>
    <w:rsid w:val="2EEF134C"/>
    <w:rsid w:val="3D2D0ACD"/>
    <w:rsid w:val="5EA12B9A"/>
    <w:rsid w:val="6F1216C3"/>
    <w:rsid w:val="737B3161"/>
    <w:rsid w:val="79403F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locked/>
    <w:uiPriority w:val="0"/>
    <w:pPr>
      <w:keepNext/>
      <w:ind w:left="420"/>
      <w:outlineLvl w:val="1"/>
    </w:pPr>
    <w:rPr>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rPr>
      <w:sz w:val="28"/>
    </w:rPr>
  </w:style>
  <w:style w:type="paragraph" w:styleId="4">
    <w:name w:val="Balloon Text"/>
    <w:basedOn w:val="1"/>
    <w:link w:val="9"/>
    <w:semiHidden/>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批注框文本 Char"/>
    <w:link w:val="4"/>
    <w:semiHidden/>
    <w:locked/>
    <w:uiPriority w:val="99"/>
    <w:rPr>
      <w:rFonts w:ascii="Times New Roman" w:hAnsi="Times New Roman" w:eastAsia="宋体" w:cs="Times New Roman"/>
      <w:sz w:val="18"/>
      <w:szCs w:val="18"/>
    </w:rPr>
  </w:style>
  <w:style w:type="character" w:customStyle="1" w:styleId="10">
    <w:name w:val="页脚 Char"/>
    <w:link w:val="5"/>
    <w:qFormat/>
    <w:locked/>
    <w:uiPriority w:val="99"/>
    <w:rPr>
      <w:rFonts w:ascii="Times New Roman" w:hAnsi="Times New Roman" w:eastAsia="宋体" w:cs="Times New Roman"/>
      <w:sz w:val="18"/>
      <w:szCs w:val="18"/>
    </w:rPr>
  </w:style>
  <w:style w:type="character" w:customStyle="1" w:styleId="11">
    <w:name w:val="页眉 Char"/>
    <w:link w:val="6"/>
    <w:qFormat/>
    <w:locked/>
    <w:uiPriority w:val="99"/>
    <w:rPr>
      <w:rFonts w:ascii="Times New Roman" w:hAnsi="Times New Roman" w:eastAsia="宋体" w:cs="Times New Roman"/>
      <w:sz w:val="18"/>
      <w:szCs w:val="18"/>
    </w:rPr>
  </w:style>
  <w:style w:type="character" w:customStyle="1" w:styleId="12">
    <w:name w:val="Char Char1"/>
    <w:qFormat/>
    <w:locked/>
    <w:uiPriority w:val="99"/>
    <w:rPr>
      <w:rFonts w:ascii="宋体" w:hAnsi="Courier New" w:eastAsia="宋体"/>
      <w:kern w:val="2"/>
      <w:sz w:val="21"/>
      <w:lang w:val="en-US" w:eastAsia="zh-CN"/>
    </w:rPr>
  </w:style>
  <w:style w:type="character" w:customStyle="1" w:styleId="13">
    <w:name w:val="fontstyle01"/>
    <w:qFormat/>
    <w:uiPriority w:val="99"/>
    <w:rPr>
      <w:rFonts w:ascii="宋体" w:hAnsi="宋体" w:eastAsia="宋体" w:cs="Times New Roman"/>
      <w:color w:val="000000"/>
      <w:sz w:val="24"/>
      <w:szCs w:val="24"/>
    </w:rPr>
  </w:style>
  <w:style w:type="character" w:customStyle="1" w:styleId="14">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1061</Words>
  <Characters>6050</Characters>
  <Lines>50</Lines>
  <Paragraphs>14</Paragraphs>
  <TotalTime>3</TotalTime>
  <ScaleCrop>false</ScaleCrop>
  <LinksUpToDate>false</LinksUpToDate>
  <CharactersWithSpaces>7097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伍光华</cp:lastModifiedBy>
  <dcterms:modified xsi:type="dcterms:W3CDTF">2020-12-21T02:16:11Z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