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0586-2020-QEO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荆门市万千塑业有限责任公司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潘荣君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Q:14.02.02</w:t>
            </w:r>
          </w:p>
          <w:p>
            <w:pPr>
              <w:spacing w:line="240" w:lineRule="exact"/>
              <w:jc w:val="center"/>
              <w:rPr>
                <w:b/>
                <w:color w:val="000000"/>
                <w:sz w:val="20"/>
                <w:szCs w:val="20"/>
              </w:rPr>
            </w:pPr>
            <w:r>
              <w:rPr>
                <w:b/>
                <w:color w:val="000000"/>
                <w:sz w:val="20"/>
                <w:szCs w:val="20"/>
              </w:rPr>
              <w:t>E:14.02.02</w:t>
            </w:r>
          </w:p>
          <w:p>
            <w:pPr>
              <w:spacing w:line="240" w:lineRule="exact"/>
              <w:jc w:val="center"/>
              <w:rPr>
                <w:b/>
                <w:color w:val="000000"/>
                <w:sz w:val="20"/>
                <w:szCs w:val="20"/>
              </w:rPr>
            </w:pPr>
            <w:r>
              <w:rPr>
                <w:b/>
                <w:color w:val="000000"/>
                <w:sz w:val="20"/>
                <w:szCs w:val="20"/>
              </w:rPr>
              <w:t>O:14.02.02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荆门市万千塑业有限责任公司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沙洋县沈集镇荆潜路1号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448265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hint="eastAsia" w:ascii="宋体"/>
                <w:b/>
                <w:color w:val="000000"/>
                <w:sz w:val="20"/>
                <w:szCs w:val="20"/>
                <w:lang w:val="en-US" w:eastAsia="zh-CN"/>
              </w:rPr>
              <w:t>沙洋县沈集镇荆潜路1号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448265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邱元龙</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13085174666</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杨晓敏</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邱元龙</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Q：塑料编织袋的生产及销售</w:t>
            </w:r>
          </w:p>
          <w:p>
            <w:pPr>
              <w:spacing w:line="400" w:lineRule="exact"/>
              <w:rPr>
                <w:rFonts w:ascii="宋体" w:hAnsi="宋体"/>
                <w:b/>
                <w:color w:val="000000"/>
                <w:sz w:val="20"/>
                <w:szCs w:val="20"/>
              </w:rPr>
            </w:pPr>
            <w:r>
              <w:rPr>
                <w:rFonts w:ascii="宋体" w:hAnsi="宋体"/>
                <w:b/>
                <w:color w:val="000000"/>
                <w:sz w:val="20"/>
                <w:szCs w:val="20"/>
              </w:rPr>
              <w:t>E：塑料编织袋的生产及销售所涉及的相关环境管理活动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O：塑料编织袋的生产及销售所涉及的相关职业健康安全管理活动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Q：14.02.02</w:t>
            </w:r>
          </w:p>
          <w:p>
            <w:pPr>
              <w:spacing w:line="280" w:lineRule="exact"/>
              <w:rPr>
                <w:rFonts w:ascii="宋体"/>
                <w:b/>
                <w:color w:val="000000"/>
                <w:sz w:val="20"/>
                <w:szCs w:val="20"/>
              </w:rPr>
            </w:pPr>
            <w:r>
              <w:rPr>
                <w:rFonts w:ascii="宋体"/>
                <w:b/>
                <w:color w:val="000000"/>
                <w:sz w:val="20"/>
                <w:szCs w:val="20"/>
              </w:rPr>
              <w:t>E：14.02.02</w:t>
            </w:r>
          </w:p>
          <w:p>
            <w:pPr>
              <w:spacing w:line="280" w:lineRule="exact"/>
              <w:rPr>
                <w:rFonts w:ascii="宋体"/>
                <w:b/>
                <w:color w:val="000000"/>
                <w:sz w:val="20"/>
                <w:szCs w:val="20"/>
              </w:rPr>
            </w:pPr>
            <w:r>
              <w:rPr>
                <w:rFonts w:ascii="宋体"/>
                <w:b/>
                <w:color w:val="000000"/>
                <w:sz w:val="20"/>
                <w:szCs w:val="20"/>
              </w:rPr>
              <w:t>O：14.02.02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管理手册、程序文件、法律法规、内审、管理评审、特种设备等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 w:val="21"/>
          <w:szCs w:val="21"/>
        </w:rPr>
        <w:t>管理层、</w:t>
      </w:r>
      <w:r>
        <w:rPr>
          <w:rFonts w:hint="eastAsia"/>
          <w:sz w:val="21"/>
          <w:szCs w:val="21"/>
          <w:lang w:val="en-US" w:eastAsia="zh-CN"/>
        </w:rPr>
        <w:t>综合</w:t>
      </w:r>
      <w:r>
        <w:rPr>
          <w:rFonts w:hint="eastAsia"/>
          <w:sz w:val="21"/>
          <w:szCs w:val="21"/>
        </w:rPr>
        <w:t>部</w:t>
      </w:r>
      <w:r>
        <w:rPr>
          <w:rFonts w:hint="eastAsia"/>
          <w:sz w:val="21"/>
          <w:szCs w:val="21"/>
          <w:lang w:eastAsia="zh-CN"/>
        </w:rPr>
        <w:t>、</w:t>
      </w:r>
      <w:r>
        <w:rPr>
          <w:rFonts w:hint="eastAsia"/>
          <w:sz w:val="21"/>
          <w:szCs w:val="21"/>
          <w:lang w:val="en-US" w:eastAsia="zh-CN"/>
        </w:rPr>
        <w:t>采购</w:t>
      </w:r>
      <w:r>
        <w:rPr>
          <w:rFonts w:hint="eastAsia"/>
          <w:sz w:val="21"/>
          <w:szCs w:val="21"/>
        </w:rPr>
        <w:t>部、生产部、</w:t>
      </w:r>
      <w:r>
        <w:rPr>
          <w:rFonts w:hint="eastAsia"/>
          <w:sz w:val="21"/>
          <w:szCs w:val="21"/>
          <w:lang w:val="en-US" w:eastAsia="zh-CN"/>
        </w:rPr>
        <w:t>财务部</w:t>
      </w:r>
      <w:r>
        <w:rPr>
          <w:rFonts w:hint="eastAsia"/>
          <w:sz w:val="21"/>
          <w:szCs w:val="21"/>
        </w:rPr>
        <w:t>、</w:t>
      </w:r>
      <w:r>
        <w:rPr>
          <w:rFonts w:hint="eastAsia"/>
          <w:sz w:val="21"/>
          <w:szCs w:val="21"/>
          <w:lang w:val="en-US" w:eastAsia="zh-CN"/>
        </w:rPr>
        <w:t>销售</w:t>
      </w:r>
      <w:r>
        <w:rPr>
          <w:rFonts w:hint="eastAsia"/>
          <w:sz w:val="21"/>
          <w:szCs w:val="21"/>
        </w:rPr>
        <w:t>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8.3</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3168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3168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168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塑料编织袋的生产及销售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rPr>
                <w:rFonts w:ascii="宋体"/>
                <w:b/>
                <w:color w:val="000000"/>
                <w:sz w:val="21"/>
                <w:szCs w:val="21"/>
              </w:rPr>
            </w:pPr>
            <w:r>
              <w:rPr>
                <w:rFonts w:hint="eastAsia" w:ascii="宋体" w:hAnsi="宋体"/>
                <w:b/>
                <w:color w:val="000000"/>
                <w:sz w:val="20"/>
                <w:szCs w:val="20"/>
              </w:rPr>
              <w:t>公司部门设置：</w:t>
            </w:r>
            <w:r>
              <w:rPr>
                <w:rFonts w:hint="eastAsia"/>
                <w:sz w:val="21"/>
                <w:szCs w:val="21"/>
                <w:lang w:val="en-US" w:eastAsia="zh-CN"/>
              </w:rPr>
              <w:t>综合</w:t>
            </w:r>
            <w:r>
              <w:rPr>
                <w:rFonts w:hint="eastAsia"/>
                <w:sz w:val="21"/>
                <w:szCs w:val="21"/>
              </w:rPr>
              <w:t>部、</w:t>
            </w:r>
            <w:r>
              <w:rPr>
                <w:rFonts w:hint="eastAsia"/>
                <w:sz w:val="21"/>
                <w:szCs w:val="21"/>
                <w:lang w:val="en-US" w:eastAsia="zh-CN"/>
              </w:rPr>
              <w:t>采购</w:t>
            </w:r>
            <w:r>
              <w:rPr>
                <w:rFonts w:hint="eastAsia"/>
                <w:sz w:val="21"/>
                <w:szCs w:val="21"/>
              </w:rPr>
              <w:t>部、生产部、</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lang w:val="en-US" w:eastAsia="zh-CN"/>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 w:val="21"/>
                <w:szCs w:val="21"/>
                <w:lang w:val="en-US" w:eastAsia="zh-CN"/>
              </w:rPr>
              <w:t>综合</w:t>
            </w:r>
            <w:r>
              <w:rPr>
                <w:rFonts w:hint="eastAsia"/>
                <w:sz w:val="21"/>
                <w:szCs w:val="21"/>
              </w:rPr>
              <w:t>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sz w:val="21"/>
                <w:szCs w:val="21"/>
                <w:lang w:val="en-US" w:eastAsia="zh-CN"/>
              </w:rPr>
              <w:t>综合</w:t>
            </w:r>
            <w:r>
              <w:rPr>
                <w:rFonts w:hint="eastAsia"/>
                <w:sz w:val="21"/>
                <w:szCs w:val="21"/>
              </w:rPr>
              <w:t>部</w:t>
            </w:r>
            <w:r>
              <w:rPr>
                <w:rFonts w:hint="eastAsia" w:ascii="宋体" w:hAnsi="宋体"/>
                <w:b/>
                <w:color w:val="000000"/>
                <w:sz w:val="20"/>
                <w:szCs w:val="20"/>
              </w:rPr>
              <w:t>、</w:t>
            </w:r>
            <w:r>
              <w:rPr>
                <w:rFonts w:hint="eastAsia" w:ascii="宋体" w:hAnsi="宋体"/>
                <w:b w:val="0"/>
                <w:bCs/>
                <w:color w:val="000000"/>
                <w:sz w:val="20"/>
                <w:szCs w:val="20"/>
              </w:rPr>
              <w:t>生产部</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rPr>
              <w:t>生产部</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职业健康安全主管部门：</w:t>
            </w:r>
            <w:r>
              <w:rPr>
                <w:rFonts w:hint="eastAsia" w:ascii="宋体" w:hAnsi="宋体"/>
                <w:b w:val="0"/>
                <w:bCs/>
                <w:color w:val="000000"/>
                <w:sz w:val="20"/>
                <w:szCs w:val="20"/>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b w:val="0"/>
                <w:bCs/>
                <w:color w:val="000000"/>
                <w:sz w:val="21"/>
                <w:szCs w:val="21"/>
                <w:lang w:val="en-US" w:eastAsia="zh-CN"/>
              </w:rPr>
              <w:t>沙洋县沈集镇荆潜路1</w:t>
            </w:r>
            <w:r>
              <w:rPr>
                <w:rFonts w:hint="eastAsia" w:ascii="宋体"/>
                <w:b w:val="0"/>
                <w:bCs/>
                <w:color w:val="000000"/>
                <w:sz w:val="20"/>
                <w:szCs w:val="20"/>
                <w:lang w:val="en-US" w:eastAsia="zh-CN"/>
              </w:rPr>
              <w:t>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b/>
                <w:color w:val="000000"/>
                <w:sz w:val="20"/>
                <w:szCs w:val="20"/>
                <w:lang w:val="de-DE"/>
              </w:rPr>
              <w:t>■</w:t>
            </w:r>
            <w:r>
              <w:rPr>
                <w:rFonts w:hint="eastAsia" w:ascii="宋体" w:hAnsi="宋体"/>
                <w:color w:val="000000"/>
                <w:sz w:val="20"/>
                <w:szCs w:val="20"/>
              </w:rPr>
              <w:t>自建办公用房</w:t>
            </w:r>
            <w:r>
              <w:rPr>
                <w:rFonts w:hint="eastAsia" w:ascii="宋体" w:hAnsi="宋体"/>
                <w:b/>
                <w:color w:val="000000"/>
                <w:sz w:val="20"/>
                <w:szCs w:val="20"/>
                <w:lang w:val="de-DE"/>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z w:val="20"/>
                <w:szCs w:val="20"/>
                <w:lang w:val="de-D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b/>
                <w:color w:val="000000"/>
                <w:sz w:val="20"/>
                <w:szCs w:val="20"/>
                <w:lang w:val="de-DE"/>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6"/>
              <w:keepNext w:val="0"/>
              <w:keepLines w:val="0"/>
              <w:widowControl/>
              <w:suppressLineNumbers w:val="0"/>
              <w:rPr>
                <w:color w:val="auto"/>
                <w:sz w:val="21"/>
                <w:szCs w:val="21"/>
              </w:rPr>
            </w:pPr>
            <w:r>
              <w:rPr>
                <w:rFonts w:hint="eastAsia" w:ascii="宋体" w:hAnsi="宋体"/>
                <w:b/>
                <w:color w:val="000000"/>
                <w:sz w:val="20"/>
                <w:szCs w:val="20"/>
                <w:lang w:val="de-DE"/>
              </w:rPr>
              <w:t>■</w:t>
            </w:r>
            <w:r>
              <w:rPr>
                <w:rFonts w:hint="eastAsia" w:ascii="宋体" w:hAnsi="宋体"/>
                <w:color w:val="000000"/>
                <w:spacing w:val="-10"/>
                <w:sz w:val="20"/>
                <w:szCs w:val="20"/>
              </w:rPr>
              <w:t>产品技术标准号：</w:t>
            </w:r>
            <w:r>
              <w:rPr>
                <w:rFonts w:hint="eastAsia" w:ascii="宋体" w:hAnsi="宋体"/>
                <w:b w:val="0"/>
                <w:bCs w:val="0"/>
                <w:sz w:val="21"/>
                <w:szCs w:val="21"/>
                <w:lang w:val="en-US" w:eastAsia="zh-CN"/>
              </w:rPr>
              <w:t>GBT8946-2013塑料编织袋通用技术要求)</w:t>
            </w:r>
          </w:p>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环境执行标准：执行标准：污水排入城市下水道水质标准（</w:t>
            </w:r>
            <w:r>
              <w:rPr>
                <w:rFonts w:ascii="宋体"/>
                <w:color w:val="000000"/>
                <w:sz w:val="20"/>
                <w:szCs w:val="20"/>
              </w:rPr>
              <w:t>CJ3082-1999</w:t>
            </w:r>
            <w:r>
              <w:rPr>
                <w:rFonts w:hint="eastAsia" w:ascii="宋体"/>
                <w:color w:val="000000"/>
                <w:sz w:val="20"/>
                <w:szCs w:val="20"/>
              </w:rPr>
              <w:t>）</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省实施《中华人民共和国水污染防治法》办法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中华人民共和国固体废弃物污染环境防治法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环境污染治理设施运营资质许可管理办法</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szCs w:val="21"/>
                <w:lang w:val="en-US" w:eastAsia="zh-CN"/>
              </w:rPr>
              <w:t>聚乙烯粒料、聚丙烯粒料、填充母料</w:t>
            </w:r>
            <w:r>
              <w:rPr>
                <w:rFonts w:hint="eastAsia"/>
                <w:szCs w:val="21"/>
              </w:rPr>
              <w:t>→</w:t>
            </w:r>
            <w:r>
              <w:rPr>
                <w:rFonts w:hint="eastAsia"/>
                <w:szCs w:val="21"/>
                <w:lang w:val="en-US" w:eastAsia="zh-CN"/>
              </w:rPr>
              <w:t>拉丝机拉成丝带</w:t>
            </w:r>
            <w:r>
              <w:rPr>
                <w:rFonts w:hint="eastAsia"/>
                <w:szCs w:val="21"/>
              </w:rPr>
              <w:t>→</w:t>
            </w:r>
            <w:r>
              <w:rPr>
                <w:rFonts w:hint="eastAsia"/>
                <w:szCs w:val="21"/>
                <w:lang w:val="en-US" w:eastAsia="zh-CN"/>
              </w:rPr>
              <w:t>冷却槽冷却</w:t>
            </w:r>
            <w:r>
              <w:rPr>
                <w:rFonts w:hint="eastAsia"/>
                <w:szCs w:val="21"/>
              </w:rPr>
              <w:t>→</w:t>
            </w:r>
            <w:r>
              <w:rPr>
                <w:rFonts w:hint="eastAsia"/>
                <w:szCs w:val="21"/>
                <w:lang w:val="en-US" w:eastAsia="zh-CN"/>
              </w:rPr>
              <w:t>收丝机卷成锭</w:t>
            </w:r>
            <w:r>
              <w:rPr>
                <w:rFonts w:hint="eastAsia"/>
                <w:szCs w:val="21"/>
              </w:rPr>
              <w:t>→</w:t>
            </w:r>
            <w:r>
              <w:rPr>
                <w:rFonts w:hint="eastAsia"/>
                <w:szCs w:val="21"/>
                <w:lang w:val="en-US" w:eastAsia="zh-CN"/>
              </w:rPr>
              <w:t>圆织机环形编织</w:t>
            </w:r>
            <w:r>
              <w:rPr>
                <w:rFonts w:hint="eastAsia"/>
                <w:szCs w:val="21"/>
              </w:rPr>
              <w:t>→</w:t>
            </w:r>
            <w:r>
              <w:rPr>
                <w:rFonts w:hint="eastAsia"/>
                <w:szCs w:val="21"/>
                <w:lang w:val="en-US" w:eastAsia="zh-CN"/>
              </w:rPr>
              <w:t>复膜机复膜</w:t>
            </w:r>
            <w:r>
              <w:rPr>
                <w:rFonts w:hint="eastAsia"/>
                <w:szCs w:val="21"/>
              </w:rPr>
              <w:t>→</w:t>
            </w:r>
            <w:r>
              <w:rPr>
                <w:rFonts w:hint="eastAsia"/>
                <w:szCs w:val="21"/>
                <w:lang w:val="en-US" w:eastAsia="zh-CN"/>
              </w:rPr>
              <w:t>制袋机制袋</w:t>
            </w:r>
            <w:r>
              <w:rPr>
                <w:rFonts w:hint="eastAsia"/>
                <w:szCs w:val="21"/>
              </w:rPr>
              <w:t>→</w:t>
            </w:r>
            <w:r>
              <w:rPr>
                <w:rFonts w:hint="eastAsia"/>
                <w:szCs w:val="21"/>
                <w:lang w:val="en-US" w:eastAsia="zh-CN"/>
              </w:rPr>
              <w:t>打底机打底</w:t>
            </w:r>
            <w:r>
              <w:rPr>
                <w:rFonts w:hint="eastAsia"/>
                <w:szCs w:val="21"/>
              </w:rPr>
              <w:t>→</w:t>
            </w:r>
            <w:r>
              <w:rPr>
                <w:rFonts w:hint="eastAsia"/>
                <w:lang w:val="en-US" w:eastAsia="zh-CN"/>
              </w:rPr>
              <w:t>检验</w:t>
            </w:r>
            <w:r>
              <w:rPr>
                <w:rFonts w:hint="eastAsia"/>
                <w:szCs w:val="21"/>
              </w:rPr>
              <w:t>→</w:t>
            </w:r>
            <w:r>
              <w:rPr>
                <w:rFonts w:hint="eastAsia"/>
                <w:lang w:val="en-US" w:eastAsia="zh-CN"/>
              </w:rPr>
              <w:t>印刷机印字</w:t>
            </w:r>
            <w:r>
              <w:rPr>
                <w:rFonts w:hint="eastAsia"/>
                <w:szCs w:val="21"/>
              </w:rPr>
              <w:t>→</w:t>
            </w:r>
            <w:r>
              <w:rPr>
                <w:rFonts w:hint="eastAsia"/>
                <w:szCs w:val="21"/>
                <w:lang w:val="en-US" w:eastAsia="zh-CN"/>
              </w:rPr>
              <w:t>打包机打包</w:t>
            </w:r>
            <w:r>
              <w:rPr>
                <w:rFonts w:hint="eastAsia"/>
                <w:szCs w:val="21"/>
              </w:rPr>
              <w:t>→</w:t>
            </w:r>
            <w:r>
              <w:rPr>
                <w:rFonts w:hint="eastAsia"/>
                <w:szCs w:val="21"/>
                <w:lang w:val="en-US"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关键过程有：加热拉丝、圆织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针对关键过程建立的控制文件有：《加热拉丝质量技术控制措施》、《圆织工作流程》。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需要确认过程：加热拉丝</w:t>
            </w:r>
            <w:r>
              <w:rPr>
                <w:rFonts w:hint="eastAsia" w:ascii="宋体" w:hAnsi="宋体"/>
                <w:color w:val="000000"/>
                <w:sz w:val="20"/>
                <w:szCs w:val="20"/>
                <w:lang w:eastAsia="zh-CN"/>
              </w:rPr>
              <w:t>、</w:t>
            </w:r>
            <w:r>
              <w:rPr>
                <w:rFonts w:hint="eastAsia" w:ascii="宋体" w:hAnsi="宋体"/>
                <w:color w:val="000000"/>
                <w:sz w:val="20"/>
                <w:szCs w:val="20"/>
                <w:lang w:val="en-US" w:eastAsia="zh-CN"/>
              </w:rPr>
              <w:t>复膜过程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Cs w:val="21"/>
                <w:lang w:val="en-US" w:eastAsia="zh-CN"/>
              </w:rPr>
              <w:t>塑料扁丝拉丝机、塑料扁丝收卷机、编织袋自动切缝机、编织袋凸版印刷机、高低压吹膜机、高压清洗机、螺旋输送机、烘干机、圆织机、切袋机、三色印刷机、塑料涂膜复合机组、塑料粉碎机、自动上料机、干燥搅拌机、自动打包机、自动切粒机</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z w:val="20"/>
                <w:szCs w:val="20"/>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auto"/>
                <w:sz w:val="20"/>
                <w:szCs w:val="20"/>
              </w:rPr>
              <w:t>储气罐及安全阀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电子天平、游标卡尺</w:t>
            </w:r>
            <w:r>
              <w:rPr>
                <w:rFonts w:hint="eastAsia" w:asci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numPr>
                <w:ilvl w:val="0"/>
                <w:numId w:val="1"/>
              </w:numPr>
              <w:rPr>
                <w:rFonts w:ascii="宋体"/>
                <w:color w:val="000000"/>
                <w:sz w:val="20"/>
                <w:szCs w:val="20"/>
              </w:rPr>
            </w:pPr>
            <w:r>
              <w:rPr>
                <w:rFonts w:hint="eastAsia" w:ascii="宋体"/>
                <w:color w:val="000000"/>
                <w:sz w:val="20"/>
                <w:szCs w:val="20"/>
              </w:rPr>
              <w:t>重要环境因素有：</w:t>
            </w:r>
            <w:r>
              <w:rPr>
                <w:rFonts w:hint="eastAsia" w:ascii="宋体" w:hAnsi="宋体" w:cs="宋体"/>
                <w:kern w:val="0"/>
                <w:szCs w:val="21"/>
                <w:lang w:val="en-US" w:eastAsia="zh-CN"/>
              </w:rPr>
              <w:t>能源的消耗</w:t>
            </w:r>
            <w:r>
              <w:t xml:space="preserve"> </w:t>
            </w:r>
            <w:r>
              <w:rPr>
                <w:rFonts w:hint="eastAsia"/>
                <w:lang w:eastAsia="zh-CN"/>
              </w:rPr>
              <w:t>、</w:t>
            </w:r>
            <w:r>
              <w:rPr>
                <w:rFonts w:hint="eastAsia" w:ascii="宋体" w:hAnsi="宋体" w:cs="宋体"/>
                <w:kern w:val="0"/>
                <w:szCs w:val="21"/>
              </w:rPr>
              <w:t>噪声排放、</w:t>
            </w:r>
            <w:r>
              <w:rPr>
                <w:rFonts w:hint="eastAsia" w:ascii="新宋体" w:hAnsi="新宋体" w:eastAsia="新宋体"/>
                <w:szCs w:val="21"/>
              </w:rPr>
              <w:t>潜在火灾、固体废物排放</w:t>
            </w:r>
            <w:r>
              <w:rPr>
                <w:rFonts w:hint="eastAsia" w:ascii="新宋体" w:hAnsi="新宋体" w:eastAsia="新宋体"/>
                <w:szCs w:val="21"/>
                <w:lang w:val="en-US" w:eastAsia="zh-CN"/>
              </w:rPr>
              <w:t>、废气的排放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2"/>
              </w:numPr>
              <w:rPr>
                <w:rFonts w:ascii="宋体"/>
                <w:color w:val="000000"/>
                <w:sz w:val="20"/>
                <w:szCs w:val="20"/>
              </w:rPr>
            </w:pPr>
            <w:r>
              <w:rPr>
                <w:rFonts w:hint="eastAsia" w:ascii="宋体"/>
                <w:color w:val="000000"/>
                <w:sz w:val="20"/>
                <w:szCs w:val="20"/>
              </w:rPr>
              <w:t>不可接受风险有：</w:t>
            </w:r>
            <w:r>
              <w:rPr>
                <w:rFonts w:hint="eastAsia"/>
              </w:rPr>
              <w:t>机械伤害</w:t>
            </w:r>
            <w:r>
              <w:t xml:space="preserve"> </w:t>
            </w:r>
            <w:r>
              <w:rPr>
                <w:rFonts w:hint="eastAsia"/>
              </w:rPr>
              <w:t>、</w:t>
            </w:r>
            <w:r>
              <w:rPr>
                <w:rFonts w:hint="eastAsia" w:ascii="宋体" w:hAnsi="宋体"/>
                <w:sz w:val="20"/>
              </w:rPr>
              <w:t>职业病</w:t>
            </w:r>
            <w:r>
              <w:rPr>
                <w:rFonts w:hint="eastAsia" w:ascii="宋体" w:hAnsi="宋体"/>
                <w:sz w:val="20"/>
                <w:lang w:val="en-US" w:eastAsia="zh-CN"/>
              </w:rPr>
              <w:t xml:space="preserve"> 、火灾爆炸 、触电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auto"/>
                <w:sz w:val="20"/>
                <w:szCs w:val="20"/>
                <w:lang w:val="en-US" w:eastAsia="zh-CN"/>
              </w:rPr>
              <w:t>50</w:t>
            </w:r>
            <w:r>
              <w:rPr>
                <w:rFonts w:hint="eastAsia" w:ascii="宋体"/>
                <w:color w:val="000000"/>
                <w:sz w:val="20"/>
                <w:szCs w:val="20"/>
              </w:rPr>
              <w:t>人，其中管理人员：</w:t>
            </w:r>
            <w:r>
              <w:rPr>
                <w:rFonts w:hint="eastAsia" w:ascii="宋体"/>
                <w:color w:val="auto"/>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 w:val="20"/>
                <w:szCs w:val="20"/>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31680"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color w:val="000000"/>
                <w:sz w:val="20"/>
                <w:szCs w:val="20"/>
              </w:rPr>
              <w:t>加热拉丝、圆织</w:t>
            </w:r>
            <w:r>
              <w:rPr>
                <w:rFonts w:hint="eastAsia" w:ascii="宋体" w:hAnsi="宋体"/>
                <w:color w:val="000000"/>
                <w:sz w:val="20"/>
                <w:szCs w:val="20"/>
                <w:lang w:val="en-US" w:eastAsia="zh-CN"/>
              </w:rPr>
              <w:t>过程、复膜过程</w:t>
            </w:r>
            <w:bookmarkStart w:id="22" w:name="_GoBack"/>
            <w:bookmarkEnd w:id="22"/>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9.6-7</w:t>
            </w:r>
            <w:r>
              <w:rPr>
                <w:rFonts w:hint="eastAsia"/>
                <w:szCs w:val="21"/>
              </w:rPr>
              <w:t>进行一次内审，提供了内审计划、内审记录、不符合报告、内审报告等，发现了</w:t>
            </w:r>
            <w:r>
              <w:rPr>
                <w:rFonts w:hint="eastAsia"/>
                <w:szCs w:val="21"/>
                <w:lang w:val="en-US" w:eastAsia="zh-CN"/>
              </w:rPr>
              <w:t>2</w:t>
            </w:r>
            <w:r>
              <w:rPr>
                <w:rFonts w:hint="eastAsia"/>
                <w:szCs w:val="21"/>
              </w:rPr>
              <w:t>项不符合项，具体内容见审核记录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Cs w:val="21"/>
              </w:rPr>
              <w:t>本次内审在各部门的支持和配合下，内审组能够较系统地对公司进行检查，认为公司三体系运行基本良好，运行达到一定的效果，基本符合</w:t>
            </w:r>
            <w:r>
              <w:rPr>
                <w:rFonts w:ascii="宋体" w:hAnsi="宋体"/>
                <w:szCs w:val="21"/>
              </w:rPr>
              <w:t>ISO9001:2015</w:t>
            </w:r>
            <w:r>
              <w:rPr>
                <w:rFonts w:hint="eastAsia" w:ascii="宋体" w:hAnsi="宋体"/>
                <w:szCs w:val="21"/>
              </w:rPr>
              <w:t>；</w:t>
            </w:r>
            <w:r>
              <w:rPr>
                <w:rFonts w:ascii="宋体" w:hAnsi="宋体"/>
                <w:szCs w:val="21"/>
              </w:rPr>
              <w:t>ISO14001:2015</w:t>
            </w:r>
            <w:r>
              <w:rPr>
                <w:rFonts w:hint="eastAsia" w:ascii="宋体" w:hAnsi="宋体"/>
                <w:szCs w:val="21"/>
              </w:rPr>
              <w:t>；</w:t>
            </w:r>
            <w:r>
              <w:rPr>
                <w:rFonts w:ascii="宋体" w:hAnsi="宋体"/>
                <w:szCs w:val="21"/>
              </w:rPr>
              <w:t>ISO45001:2018</w:t>
            </w:r>
            <w:r>
              <w:rPr>
                <w:rFonts w:hint="eastAsia" w:ascii="宋体" w:hAnsi="宋体"/>
                <w:szCs w:val="21"/>
              </w:rPr>
              <w:t>标准的要求，</w:t>
            </w:r>
            <w:r>
              <w:rPr>
                <w:rFonts w:hint="eastAsia" w:ascii="宋体" w:hAnsi="宋体"/>
                <w:bCs/>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20</w:t>
            </w:r>
            <w:r>
              <w:rPr>
                <w:szCs w:val="21"/>
              </w:rPr>
              <w:t>.</w:t>
            </w:r>
            <w:r>
              <w:rPr>
                <w:rFonts w:hint="eastAsia"/>
                <w:szCs w:val="21"/>
                <w:lang w:val="en-US" w:eastAsia="zh-CN"/>
              </w:rPr>
              <w:t>9.28</w:t>
            </w:r>
            <w:r>
              <w:rPr>
                <w:rFonts w:hint="eastAsia"/>
                <w:szCs w:val="21"/>
              </w:rPr>
              <w:t>召开了管理评审会议，由总经理主持。提供管理评审报告。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1680"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val="de-DE"/>
              </w:rPr>
              <w:t>■</w:t>
            </w:r>
            <w:r>
              <w:rPr>
                <w:rFonts w:ascii="宋体" w:hAnsi="宋体"/>
                <w:b/>
                <w:color w:val="000000"/>
                <w:sz w:val="20"/>
                <w:szCs w:val="20"/>
              </w:rPr>
              <w:t>QMS /</w:t>
            </w:r>
            <w:r>
              <w:rPr>
                <w:rFonts w:hint="eastAsia" w:ascii="宋体" w:hAnsi="宋体"/>
                <w:b/>
                <w:color w:val="000000"/>
                <w:sz w:val="20"/>
                <w:szCs w:val="20"/>
                <w:lang w:val="de-DE"/>
              </w:rPr>
              <w:t>■</w:t>
            </w:r>
            <w:r>
              <w:rPr>
                <w:rFonts w:ascii="宋体" w:hAnsi="宋体"/>
                <w:b/>
                <w:color w:val="000000"/>
                <w:sz w:val="20"/>
                <w:szCs w:val="20"/>
              </w:rPr>
              <w:t>EMS/</w:t>
            </w:r>
            <w:r>
              <w:rPr>
                <w:rFonts w:hint="eastAsia" w:ascii="宋体" w:hAnsi="宋体"/>
                <w:b/>
                <w:color w:val="00000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t>塑料编织袋的生产及销售</w:t>
      </w:r>
    </w:p>
    <w:p>
      <w:pPr>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t>塑料编织袋的生产及销售所涉及的相关环境管理活动</w:t>
      </w:r>
    </w:p>
    <w:p>
      <w:pPr>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t>塑料编织袋的生产及销售所涉及的相关职业健康安全管理活动</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rPr>
      </w:pPr>
      <w:r>
        <w:rPr>
          <w:rFonts w:hint="eastAsia" w:ascii="宋体" w:hAnsi="宋体" w:eastAsia="宋体"/>
          <w:b/>
          <w:color w:val="000000"/>
          <w:lang w:eastAsia="zh-CN"/>
        </w:rPr>
        <w:drawing>
          <wp:anchor distT="0" distB="0" distL="114300" distR="114300" simplePos="0" relativeHeight="251658240" behindDoc="0" locked="0" layoutInCell="1" allowOverlap="1">
            <wp:simplePos x="0" y="0"/>
            <wp:positionH relativeFrom="column">
              <wp:posOffset>3569970</wp:posOffset>
            </wp:positionH>
            <wp:positionV relativeFrom="paragraph">
              <wp:posOffset>132080</wp:posOffset>
            </wp:positionV>
            <wp:extent cx="679450" cy="403860"/>
            <wp:effectExtent l="0" t="0" r="6350" b="2540"/>
            <wp:wrapNone/>
            <wp:docPr id="1" name="图片 1" descr="2edb1f4af303561ee6bbcab9c58a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db1f4af303561ee6bbcab9c58a891"/>
                    <pic:cNvPicPr>
                      <a:picLocks noChangeAspect="1"/>
                    </pic:cNvPicPr>
                  </pic:nvPicPr>
                  <pic:blipFill>
                    <a:blip r:embed="rId6"/>
                    <a:stretch>
                      <a:fillRect/>
                    </a:stretch>
                  </pic:blipFill>
                  <pic:spPr>
                    <a:xfrm>
                      <a:off x="0" y="0"/>
                      <a:ext cx="679450" cy="403860"/>
                    </a:xfrm>
                    <a:prstGeom prst="rect">
                      <a:avLst/>
                    </a:prstGeom>
                  </pic:spPr>
                </pic:pic>
              </a:graphicData>
            </a:graphic>
          </wp:anchor>
        </w:drawing>
      </w:r>
    </w:p>
    <w:p>
      <w:pPr>
        <w:ind w:firstLine="5644" w:firstLineChars="2677"/>
        <w:rPr>
          <w:rFonts w:hint="eastAsia" w:ascii="宋体" w:hAnsi="宋体" w:eastAsia="宋体"/>
          <w:b/>
          <w:color w:val="000000"/>
          <w:lang w:eastAsia="zh-CN"/>
        </w:rPr>
      </w:pPr>
    </w:p>
    <w:p>
      <w:pPr>
        <w:ind w:firstLine="5644" w:firstLineChars="2677"/>
        <w:rPr>
          <w:rFonts w:hint="eastAsia" w:ascii="宋体" w:hAnsi="宋体"/>
          <w:b/>
          <w:color w:val="000000"/>
        </w:rPr>
      </w:pPr>
    </w:p>
    <w:p>
      <w:pPr>
        <w:ind w:firstLine="5644" w:firstLineChars="2677"/>
        <w:rPr>
          <w:rFonts w:hint="eastAsia" w:ascii="宋体" w:hAns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2020年12月12日</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荆门市万千塑业有限责任公司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kern w:val="2"/>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kern w:val="2"/>
                <w:sz w:val="24"/>
                <w:szCs w:val="24"/>
                <w:lang w:val="en-US" w:eastAsia="zh-CN"/>
              </w:rPr>
            </w:pPr>
            <w:r>
              <w:rPr>
                <w:rFonts w:hint="eastAsia"/>
                <w:color w:val="000000"/>
                <w:kern w:val="2"/>
                <w:sz w:val="24"/>
                <w:szCs w:val="24"/>
                <w:lang w:val="en-US" w:eastAsia="zh-CN"/>
              </w:rPr>
              <w:t>无</w:t>
            </w: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12</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12</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eastAsia="zh-CN"/>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269F2"/>
    <w:multiLevelType w:val="singleLevel"/>
    <w:tmpl w:val="B6C269F2"/>
    <w:lvl w:ilvl="0" w:tentative="0">
      <w:start w:val="1"/>
      <w:numFmt w:val="decimal"/>
      <w:suff w:val="space"/>
      <w:lvlText w:val="%1."/>
      <w:lvlJc w:val="left"/>
    </w:lvl>
  </w:abstractNum>
  <w:abstractNum w:abstractNumId="1">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F47D63"/>
    <w:rsid w:val="33A07420"/>
    <w:rsid w:val="351A7BBB"/>
    <w:rsid w:val="3D0505CC"/>
    <w:rsid w:val="3EDF23E2"/>
    <w:rsid w:val="5EC84CB6"/>
    <w:rsid w:val="73F52E45"/>
    <w:rsid w:val="75042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脚 字符"/>
    <w:link w:val="3"/>
    <w:qFormat/>
    <w:locked/>
    <w:uiPriority w:val="99"/>
    <w:rPr>
      <w:rFonts w:ascii="Times New Roman" w:hAnsi="Times New Roman" w:eastAsia="宋体" w:cs="Times New Roman"/>
      <w:sz w:val="18"/>
      <w:szCs w:val="18"/>
    </w:rPr>
  </w:style>
  <w:style w:type="character" w:customStyle="1" w:styleId="12">
    <w:name w:val="页眉 字符"/>
    <w:link w:val="4"/>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2020-12-21T07:21:29Z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