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278"/>
        <w:gridCol w:w="1252"/>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宣汉县兴旺食品有限公司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03.01.03</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b/>
                <w:sz w:val="20"/>
              </w:rPr>
            </w:pPr>
            <w:r>
              <w:rPr>
                <w:sz w:val="21"/>
                <w:szCs w:val="21"/>
              </w:rPr>
              <w:t>陈治燃</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sz w:val="21"/>
                <w:szCs w:val="21"/>
              </w:rPr>
              <w:t>03.01.03</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278"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宋明珠</w:t>
            </w:r>
          </w:p>
        </w:tc>
        <w:tc>
          <w:tcPr>
            <w:tcW w:w="1252"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余家龙</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278"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无</w:t>
            </w:r>
          </w:p>
        </w:tc>
        <w:tc>
          <w:tcPr>
            <w:tcW w:w="1252"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无</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9"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pacing w:line="400" w:lineRule="exact"/>
              <w:ind w:firstLine="480" w:firstLineChars="200"/>
              <w:jc w:val="lef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腊肉制品：选料</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解冻（或不解冻）</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分割</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漂洗</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配料</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腌制</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熏烤或低温晾制（风干）</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冷却</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包装</w:t>
            </w:r>
          </w:p>
          <w:p>
            <w:pPr>
              <w:spacing w:line="400" w:lineRule="exact"/>
              <w:ind w:firstLine="480" w:firstLineChars="200"/>
              <w:jc w:val="lef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香辣肉制品：原料（腊肉制品）</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选料</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浸泡</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斩拌</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煮制</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过油</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调味</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包装</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灭菌</w:t>
            </w:r>
          </w:p>
          <w:p>
            <w:pPr>
              <w:spacing w:line="400" w:lineRule="exact"/>
              <w:ind w:firstLine="480" w:firstLineChars="200"/>
              <w:jc w:val="left"/>
              <w:rPr>
                <w:rFonts w:ascii="Times New Roman" w:hAnsi="Times New Roman" w:eastAsia="宋体" w:cs="Times New Roman"/>
                <w:color w:val="000000"/>
                <w:spacing w:val="0"/>
                <w:w w:val="100"/>
                <w:kern w:val="2"/>
                <w:position w:val="0"/>
                <w:sz w:val="21"/>
                <w:szCs w:val="22"/>
                <w:u w:val="none"/>
                <w:shd w:val="clear"/>
                <w:lang w:val="en-US" w:eastAsia="zh-CN" w:bidi="ar-SA"/>
              </w:rPr>
            </w:pPr>
            <w:r>
              <w:rPr>
                <w:rFonts w:hint="eastAsia" w:ascii="Times New Roman" w:hAnsi="Times New Roman" w:cs="Times New Roman"/>
                <w:color w:val="auto"/>
                <w:szCs w:val="21"/>
                <w:lang w:val="en-US" w:eastAsia="zh-CN"/>
              </w:rPr>
              <w:t>川味即食肉制品：配料</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熬制</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预煮</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浸泡</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烧煮</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酱制（卤制）</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配料</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 xml:space="preserve"> 炒制</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杀菌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pacing w:line="400" w:lineRule="exact"/>
              <w:ind w:firstLine="480" w:firstLineChars="200"/>
              <w:jc w:val="left"/>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生产过程风险：真菌毒素、污染物、农药残留、兽药残留、食品添加剂等。</w:t>
            </w:r>
          </w:p>
          <w:p>
            <w:pPr>
              <w:spacing w:line="400" w:lineRule="exact"/>
              <w:ind w:firstLine="480" w:firstLineChars="200"/>
              <w:jc w:val="left"/>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控制措施：严格按照标准GB 2761、GB 2762、GB 2763、农业部公告【2002】第235号《动物性食品兽药最高残留限量》和国家有关规定、GB 2761等执行。</w:t>
            </w:r>
          </w:p>
          <w:p>
            <w:pPr>
              <w:spacing w:line="400" w:lineRule="exact"/>
              <w:ind w:firstLine="480" w:firstLineChars="200"/>
              <w:jc w:val="left"/>
              <w:rPr>
                <w:rFonts w:hint="eastAsia" w:ascii="Times New Roman" w:hAnsi="Times New Roman" w:cs="Times New Roman"/>
                <w:color w:val="auto"/>
                <w:szCs w:val="21"/>
                <w:lang w:val="en-US" w:eastAsia="zh-CN"/>
              </w:rPr>
            </w:pPr>
          </w:p>
          <w:p>
            <w:pPr>
              <w:keepNext w:val="0"/>
              <w:keepLines w:val="0"/>
              <w:widowControl/>
              <w:suppressLineNumbers w:val="0"/>
              <w:jc w:val="left"/>
            </w:pPr>
            <w:r>
              <w:rPr>
                <w:rFonts w:hint="eastAsia" w:ascii="Times New Roman" w:hAnsi="Times New Roman" w:cs="Times New Roman"/>
                <w:color w:val="auto"/>
                <w:szCs w:val="21"/>
                <w:lang w:val="en-US" w:eastAsia="zh-CN"/>
              </w:rPr>
              <w:t>特殊过程的控制：熏烤或低温晾制（风干）是特殊过程，在这个过程中要严格按照章程执行，以确保产品质量，并且出厂检验每次在每批中随机抽取不少于1kg（不少于2个最小销售包装）的成品进行检测，样品分为两份，一份作为检验样品，一份作为备样样品。</w:t>
            </w:r>
          </w:p>
          <w:p>
            <w:pPr>
              <w:snapToGrid w:val="0"/>
              <w:spacing w:line="280" w:lineRule="exact"/>
              <w:jc w:val="left"/>
              <w:rPr>
                <w:rFonts w:hint="eastAsia" w:eastAsia="宋体"/>
                <w:b/>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280" w:lineRule="exact"/>
              <w:jc w:val="center"/>
              <w:rPr>
                <w:rFonts w:hint="default"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keepNext w:val="0"/>
              <w:keepLines w:val="0"/>
              <w:widowControl/>
              <w:suppressLineNumbers w:val="0"/>
              <w:jc w:val="left"/>
              <w:rPr>
                <w:rFonts w:hint="eastAsia" w:ascii="宋体" w:hAnsi="宋体" w:eastAsia="宋体"/>
                <w:szCs w:val="21"/>
                <w:lang w:eastAsia="zh-CN"/>
              </w:rPr>
            </w:pP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Times New Roman"/>
                <w:szCs w:val="21"/>
              </w:rPr>
              <w:t>中华人民共和国消费者权益法</w:t>
            </w:r>
            <w:r>
              <w:rPr>
                <w:rFonts w:hint="eastAsia" w:ascii="宋体" w:hAnsi="宋体" w:cs="Times New Roman"/>
                <w:szCs w:val="21"/>
                <w:lang w:val="en-US" w:eastAsia="zh-CN"/>
              </w:rPr>
              <w:t>国家质量监督检验检疫总局令【2005】第75号《定量包装商品计量监督管理办法》、 国家质量监督检验检疫总局令【2009】第123号《食品标识管理规定》 、中华人民共和国农业部公告【2002】第235号《动物性食品兽药最高残留限量》</w:t>
            </w:r>
            <w:r>
              <w:rPr>
                <w:rFonts w:hint="eastAsia" w:ascii="宋体" w:hAnsi="宋体" w:cs="Times New Roman"/>
                <w:szCs w:val="21"/>
              </w:rPr>
              <w:t>等</w:t>
            </w: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eastAsia="zh-CN"/>
              </w:rPr>
              <w:t>腌腊肉制品</w:t>
            </w:r>
            <w:r>
              <w:rPr>
                <w:rFonts w:hint="eastAsia" w:ascii="宋体" w:hAnsi="宋体" w:eastAsia="宋体" w:cs="Times New Roman"/>
                <w:szCs w:val="21"/>
                <w:lang w:val="en-US" w:eastAsia="zh-CN"/>
              </w:rPr>
              <w:t>Q/XXN0001S-2020；</w:t>
            </w: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香辣肉制品Q/XXN0002S-2017；</w:t>
            </w: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eastAsia="zh-CN"/>
              </w:rPr>
              <w:t>川味即食肉制品</w:t>
            </w:r>
            <w:r>
              <w:rPr>
                <w:rFonts w:hint="eastAsia" w:ascii="宋体" w:hAnsi="宋体" w:eastAsia="宋体" w:cs="Times New Roman"/>
                <w:szCs w:val="21"/>
                <w:lang w:val="en-US" w:eastAsia="zh-CN"/>
              </w:rPr>
              <w:t>Q/XXN0003S-2019</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1886.11 食品安全国家标准 食品添加剂 亚硝酸钠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2707 食品安全国家标准 鲜（冻）畜、禽产品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2720 食品安全国家标准 味精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2760 食品安全国家标准 食品添加剂使用标准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2761 食品安全国家标准 食品中真菌毒素限量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2762 食品安全国家标准 食品中污染物限量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2763 食品安全国家标准 食品中农药最大残留限量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5009.3 食品安全国家标准 食品中水分的测定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5009.11 食品安全国家标准 食品中总砷及无机砷的测定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5009.12 食品安全国家标准 食品中铅的测定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5009.15 食品安全国家标准 食品中镉的测定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5009.26 食品安全国家标准 食品中 N-亚硝胺类化合物的测定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5009.27 食品安全国家标准 食品中苯并 (a) 芘的测定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5009.33 食品安全国家标准 食品中亚硝酸盐和硝酸盐的测定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5009.44 食品安全国家标准 食品中氯化物的测定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5009.123 食品安全国家标准 食品中铬的测定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GB 5009.227 食品安全国家标准 食品中过氧化值的测定 </w:t>
            </w:r>
          </w:p>
          <w:p>
            <w:pPr>
              <w:pStyle w:val="12"/>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25547</w:t>
            </w:r>
            <w:r>
              <w:rPr>
                <w:color w:val="000000"/>
                <w:spacing w:val="0"/>
                <w:w w:val="100"/>
                <w:position w:val="0"/>
              </w:rPr>
              <w:t>食品安全国家标准食品添加剂脱氢乙酸钠</w:t>
            </w:r>
          </w:p>
          <w:p>
            <w:pPr>
              <w:pStyle w:val="12"/>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25557</w:t>
            </w:r>
            <w:r>
              <w:rPr>
                <w:color w:val="000000"/>
                <w:spacing w:val="0"/>
                <w:w w:val="100"/>
                <w:position w:val="0"/>
              </w:rPr>
              <w:t>食品安全国家标准食品添加剂焦磷酸钠</w:t>
            </w:r>
          </w:p>
          <w:p>
            <w:pPr>
              <w:pStyle w:val="12"/>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25566</w:t>
            </w:r>
            <w:r>
              <w:rPr>
                <w:color w:val="000000"/>
                <w:spacing w:val="0"/>
                <w:w w:val="100"/>
                <w:position w:val="0"/>
              </w:rPr>
              <w:t>食品安全国家标准食品添加剂三聚磷酸钠</w:t>
            </w:r>
          </w:p>
          <w:p>
            <w:pPr>
              <w:pStyle w:val="12"/>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25538</w:t>
            </w:r>
            <w:r>
              <w:rPr>
                <w:color w:val="000000"/>
                <w:spacing w:val="0"/>
                <w:w w:val="100"/>
                <w:position w:val="0"/>
              </w:rPr>
              <w:t>食品安全国家标准食品添加剂双乙酸钠</w:t>
            </w:r>
          </w:p>
          <w:p>
            <w:pPr>
              <w:pStyle w:val="12"/>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28050</w:t>
            </w:r>
            <w:r>
              <w:rPr>
                <w:color w:val="000000"/>
                <w:spacing w:val="0"/>
                <w:w w:val="100"/>
                <w:position w:val="0"/>
              </w:rPr>
              <w:t>食品安全国家标准预包装食品营养标签通则</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5461 食用盐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5749 生活饮用水卫生标准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7652 八角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7718 食品安全国家标准 预包装食品标签通则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14881 食品安全国家标准 食品生产通用卫生规范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15691 香辛料调味品通用技术条件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22267 整孜然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23183 辣椒粉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28050 食品安全国家标准 预包装食品营养标签通则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30381 桂皮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30391 花椒 </w:t>
            </w:r>
          </w:p>
          <w:p>
            <w:pPr>
              <w:keepNext w:val="0"/>
              <w:keepLines w:val="0"/>
              <w:widowControl/>
              <w:suppressLineNumbers w:val="0"/>
              <w:jc w:val="left"/>
              <w:rPr>
                <w:b/>
                <w:sz w:val="20"/>
              </w:rPr>
            </w:pPr>
            <w:r>
              <w:rPr>
                <w:rFonts w:hint="eastAsia" w:ascii="宋体" w:hAnsi="宋体" w:eastAsia="宋体" w:cs="宋体"/>
                <w:color w:val="000000"/>
                <w:kern w:val="0"/>
                <w:sz w:val="20"/>
                <w:szCs w:val="20"/>
                <w:lang w:val="en-US" w:eastAsia="zh-CN" w:bidi="ar"/>
              </w:rPr>
              <w:t>JJF 1070 定量包装商品净含量计量检验规则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keepNext w:val="0"/>
              <w:keepLines w:val="0"/>
              <w:widowControl/>
              <w:suppressLineNumbers w:val="0"/>
              <w:jc w:val="left"/>
              <w:rPr>
                <w:rFonts w:hint="eastAsia"/>
                <w:lang w:val="en-US" w:eastAsia="zh-CN"/>
              </w:rPr>
            </w:pPr>
            <w:r>
              <w:rPr>
                <w:rFonts w:hint="eastAsia"/>
                <w:lang w:val="en-US" w:eastAsia="zh-CN"/>
              </w:rPr>
              <w:t>原材料检验：原辅料入库需经本公司质量检验部门检验合格或索取产品检验合格证明后方能入库。</w:t>
            </w:r>
          </w:p>
          <w:p>
            <w:pPr>
              <w:keepNext w:val="0"/>
              <w:keepLines w:val="0"/>
              <w:widowControl/>
              <w:suppressLineNumbers w:val="0"/>
              <w:jc w:val="left"/>
              <w:rPr>
                <w:rFonts w:hint="eastAsia"/>
                <w:lang w:val="en-US" w:eastAsia="zh-CN"/>
              </w:rPr>
            </w:pPr>
            <w:r>
              <w:rPr>
                <w:rFonts w:hint="eastAsia"/>
                <w:lang w:val="en-US" w:eastAsia="zh-CN"/>
              </w:rPr>
              <w:t>出厂检验：</w:t>
            </w:r>
          </w:p>
          <w:p>
            <w:pPr>
              <w:keepNext w:val="0"/>
              <w:keepLines w:val="0"/>
              <w:widowControl/>
              <w:suppressLineNumbers w:val="0"/>
              <w:jc w:val="left"/>
              <w:rPr>
                <w:rFonts w:hint="eastAsia"/>
                <w:lang w:val="en-US" w:eastAsia="zh-CN"/>
              </w:rPr>
            </w:pPr>
            <w:r>
              <w:rPr>
                <w:rFonts w:hint="eastAsia"/>
                <w:lang w:val="en-US" w:eastAsia="zh-CN"/>
              </w:rPr>
              <w:t>1、产品出厂需经工厂</w:t>
            </w:r>
            <w:bookmarkStart w:id="6" w:name="_GoBack"/>
            <w:bookmarkEnd w:id="6"/>
            <w:r>
              <w:rPr>
                <w:rFonts w:hint="eastAsia"/>
                <w:lang w:val="en-US" w:eastAsia="zh-CN"/>
              </w:rPr>
              <w:t>检验部门逐批检验合格，附产品合格证方能出厂。</w:t>
            </w:r>
          </w:p>
          <w:p>
            <w:pPr>
              <w:keepNext w:val="0"/>
              <w:keepLines w:val="0"/>
              <w:widowControl/>
              <w:suppressLineNumbers w:val="0"/>
              <w:jc w:val="left"/>
              <w:rPr>
                <w:rFonts w:hint="eastAsia"/>
                <w:lang w:val="en-US" w:eastAsia="zh-CN"/>
              </w:rPr>
            </w:pPr>
            <w:r>
              <w:rPr>
                <w:rFonts w:hint="eastAsia"/>
                <w:lang w:val="en-US" w:eastAsia="zh-CN"/>
              </w:rPr>
              <w:t>2、出厂检验项目包括感官要求、水分、食用盐、过氧化值、亚硝酸盐残留量、净含量及允许短缺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型式检验</w:t>
            </w:r>
            <w:r>
              <w:rPr>
                <w:rFonts w:hint="eastAsia" w:ascii="宋体" w:hAnsi="宋体" w:cs="宋体"/>
                <w:color w:val="000000"/>
                <w:kern w:val="0"/>
                <w:sz w:val="20"/>
                <w:szCs w:val="20"/>
                <w:lang w:val="en-US" w:eastAsia="zh-CN" w:bidi="ar"/>
              </w:rPr>
              <w:t>：见企业标准</w:t>
            </w:r>
            <w:r>
              <w:rPr>
                <w:rFonts w:ascii="黑体" w:hAnsi="宋体" w:eastAsia="黑体" w:cs="黑体"/>
                <w:color w:val="000000"/>
                <w:kern w:val="0"/>
                <w:sz w:val="20"/>
                <w:szCs w:val="20"/>
                <w:lang w:val="en-US" w:eastAsia="zh-CN" w:bidi="ar"/>
              </w:rPr>
              <w:t xml:space="preserve">4.5.2 </w:t>
            </w:r>
            <w:r>
              <w:rPr>
                <w:rFonts w:hint="eastAsia" w:ascii="宋体" w:hAnsi="宋体" w:eastAsia="宋体" w:cs="宋体"/>
                <w:color w:val="000000"/>
                <w:kern w:val="0"/>
                <w:sz w:val="20"/>
                <w:szCs w:val="20"/>
                <w:lang w:val="en-US" w:eastAsia="zh-CN" w:bidi="ar"/>
              </w:rPr>
              <w:t xml:space="preserve">型式检验抽样应在出厂检验合格批次中随机抽取不少于2kg（不少于4个最小销售包装）的产品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作为检测样品，样品分为两份，一份作为检验样品，一份作为备样样品。</w:t>
            </w:r>
          </w:p>
          <w:p>
            <w:pPr>
              <w:pStyle w:val="2"/>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2020.12.3</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4051935</wp:posOffset>
            </wp:positionH>
            <wp:positionV relativeFrom="paragraph">
              <wp:posOffset>-10795</wp:posOffset>
            </wp:positionV>
            <wp:extent cx="817245" cy="323850"/>
            <wp:effectExtent l="0" t="0" r="8255" b="6350"/>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5"/>
                    <a:stretch>
                      <a:fillRect/>
                    </a:stretch>
                  </pic:blipFill>
                  <pic:spPr>
                    <a:xfrm>
                      <a:off x="0" y="0"/>
                      <a:ext cx="817245" cy="323850"/>
                    </a:xfrm>
                    <a:prstGeom prst="rect">
                      <a:avLst/>
                    </a:prstGeom>
                  </pic:spPr>
                </pic:pic>
              </a:graphicData>
            </a:graphic>
          </wp:anchor>
        </w:drawing>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2020.12.3</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4D3B00"/>
    <w:rsid w:val="1B8A685B"/>
    <w:rsid w:val="25B76626"/>
    <w:rsid w:val="297F6375"/>
    <w:rsid w:val="29ED6A25"/>
    <w:rsid w:val="6D5B02BF"/>
    <w:rsid w:val="781D2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unhideWhenUsed/>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1"/>
    <w:basedOn w:val="1"/>
    <w:qFormat/>
    <w:uiPriority w:val="0"/>
    <w:pPr>
      <w:widowControl w:val="0"/>
      <w:shd w:val="clear" w:color="auto" w:fill="auto"/>
      <w:spacing w:line="276" w:lineRule="auto"/>
    </w:pPr>
    <w:rPr>
      <w:rFonts w:ascii="宋体" w:hAnsi="宋体" w:eastAsia="宋体" w:cs="宋体"/>
      <w:sz w:val="19"/>
      <w:szCs w:val="19"/>
      <w:u w:val="none"/>
      <w:shd w:val="clear" w:color="auto" w:fill="auto"/>
      <w:lang w:val="zh-TW" w:eastAsia="zh-TW" w:bidi="zh-TW"/>
    </w:rPr>
  </w:style>
  <w:style w:type="paragraph" w:customStyle="1" w:styleId="13">
    <w:name w:val="Heading #2|1"/>
    <w:basedOn w:val="1"/>
    <w:qFormat/>
    <w:uiPriority w:val="0"/>
    <w:pPr>
      <w:widowControl w:val="0"/>
      <w:shd w:val="clear" w:color="auto" w:fill="auto"/>
      <w:spacing w:after="370"/>
      <w:jc w:val="center"/>
      <w:outlineLvl w:val="1"/>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13</TotalTime>
  <ScaleCrop>false</ScaleCrop>
  <LinksUpToDate>false</LinksUpToDate>
  <CharactersWithSpaces>314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宋明珠</cp:lastModifiedBy>
  <dcterms:modified xsi:type="dcterms:W3CDTF">2020-12-13T07:27:29Z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