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rPr>
              <w:t>生产部</w:t>
            </w:r>
            <w:r>
              <w:rPr>
                <w:rFonts w:hint="eastAsia"/>
                <w:sz w:val="24"/>
                <w:szCs w:val="24"/>
              </w:rPr>
              <w:t xml:space="preserve"> 主管领导：</w:t>
            </w:r>
            <w:r>
              <w:rPr>
                <w:rFonts w:hint="eastAsia" w:ascii="宋体" w:hAnsi="宋体" w:cs="Arial"/>
                <w:szCs w:val="21"/>
                <w:lang w:val="en-US" w:eastAsia="zh-CN"/>
              </w:rPr>
              <w:t>吴天伟</w:t>
            </w:r>
            <w:r>
              <w:rPr>
                <w:rFonts w:hint="eastAsia" w:ascii="宋体" w:hAnsi="宋体" w:cs="Arial"/>
                <w:szCs w:val="21"/>
              </w:rPr>
              <w:t xml:space="preserve"> </w:t>
            </w:r>
            <w:r>
              <w:rPr>
                <w:rFonts w:ascii="宋体" w:hAnsi="宋体" w:cs="Arial"/>
                <w:szCs w:val="21"/>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 xml:space="preserve">王央央 </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1</w:t>
            </w:r>
            <w:r>
              <w:rPr>
                <w:rFonts w:hint="eastAsia" w:ascii="宋体" w:hAnsi="宋体" w:cs="Arial"/>
                <w:szCs w:val="21"/>
                <w:lang w:val="en-US" w:eastAsia="zh-CN"/>
              </w:rPr>
              <w:t>2</w:t>
            </w:r>
            <w:r>
              <w:rPr>
                <w:rFonts w:hint="eastAsia" w:ascii="宋体" w:hAnsi="宋体" w:cs="Arial"/>
                <w:szCs w:val="21"/>
              </w:rPr>
              <w:t>月</w:t>
            </w:r>
            <w:r>
              <w:rPr>
                <w:rFonts w:ascii="宋体" w:hAnsi="宋体" w:cs="Arial"/>
                <w:szCs w:val="21"/>
              </w:rPr>
              <w:t>0</w:t>
            </w:r>
            <w:r>
              <w:rPr>
                <w:rFonts w:hint="eastAsia" w:ascii="宋体" w:hAnsi="宋体" w:cs="Arial"/>
                <w:szCs w:val="21"/>
                <w:lang w:val="en-US" w:eastAsia="zh-CN"/>
              </w:rPr>
              <w:t>5</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E/O:5.3、6.2、6.1.2、6.1.4、8.1、8.2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hint="eastAsia" w:ascii="宋体" w:hAnsi="宋体" w:cs="Arial"/>
                <w:szCs w:val="21"/>
                <w:lang w:eastAsia="zh-CN"/>
              </w:rPr>
              <w:t>E</w:t>
            </w:r>
            <w:r>
              <w:rPr>
                <w:rFonts w:ascii="宋体" w:hAnsi="宋体" w:cs="Arial"/>
                <w:szCs w:val="21"/>
              </w:rPr>
              <w:t>:5.3</w:t>
            </w:r>
            <w:r>
              <w:t xml:space="preserve"> </w:t>
            </w:r>
          </w:p>
        </w:tc>
        <w:tc>
          <w:tcPr>
            <w:tcW w:w="10004" w:type="dxa"/>
          </w:tcPr>
          <w:p>
            <w:pPr>
              <w:spacing w:line="280" w:lineRule="exact"/>
              <w:ind w:firstLine="420"/>
              <w:rPr>
                <w:color w:val="000000"/>
                <w:szCs w:val="21"/>
              </w:rPr>
            </w:pPr>
            <w:r>
              <w:rPr>
                <w:rFonts w:hint="eastAsia"/>
                <w:color w:val="000000"/>
                <w:szCs w:val="21"/>
              </w:rPr>
              <w:t>本部门主要负责组织制订生产进度计划，拟定质量、安全措施，检查落实考核要求，保证企业产品产量的全面完成</w:t>
            </w:r>
            <w:r>
              <w:rPr>
                <w:rFonts w:hint="eastAsia"/>
                <w:color w:val="000000"/>
                <w:szCs w:val="21"/>
                <w:lang w:val="en-US" w:eastAsia="zh-CN"/>
              </w:rPr>
              <w:t>,</w:t>
            </w:r>
            <w:r>
              <w:rPr>
                <w:rFonts w:hint="eastAsia"/>
                <w:color w:val="000000"/>
                <w:szCs w:val="21"/>
              </w:rPr>
              <w:t>确保生产制造的有序运行及相关环境管理活动的实施与执行.</w:t>
            </w:r>
          </w:p>
          <w:p>
            <w:pPr>
              <w:spacing w:line="280" w:lineRule="exact"/>
              <w:ind w:firstLine="420"/>
              <w:rPr>
                <w:color w:val="000000"/>
                <w:szCs w:val="21"/>
              </w:rPr>
            </w:pPr>
            <w:r>
              <w:rPr>
                <w:rFonts w:hint="eastAsia"/>
                <w:color w:val="000000"/>
                <w:szCs w:val="21"/>
              </w:rPr>
              <w:t>与生产部负责人沟通，描述的职责和权限与一体化管理体系的职能分配表基本一致。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质量、环境与职业健康安全目标</w:t>
            </w:r>
          </w:p>
        </w:tc>
        <w:tc>
          <w:tcPr>
            <w:tcW w:w="960" w:type="dxa"/>
          </w:tcPr>
          <w:p>
            <w:r>
              <w:rPr>
                <w:rFonts w:hint="eastAsia" w:ascii="宋体" w:hAnsi="宋体" w:cs="Arial"/>
                <w:szCs w:val="21"/>
                <w:lang w:eastAsia="zh-CN"/>
              </w:rPr>
              <w:t>E</w:t>
            </w:r>
            <w:r>
              <w:rPr>
                <w:rFonts w:ascii="宋体" w:hAnsi="宋体" w:cs="Arial"/>
                <w:szCs w:val="21"/>
              </w:rPr>
              <w:t>:6.2</w:t>
            </w:r>
          </w:p>
        </w:tc>
        <w:tc>
          <w:tcPr>
            <w:tcW w:w="10004" w:type="dxa"/>
          </w:tcPr>
          <w:p>
            <w:pPr>
              <w:snapToGrid w:val="0"/>
              <w:ind w:firstLine="420" w:firstLineChars="200"/>
              <w:rPr>
                <w:rFonts w:hint="eastAsia"/>
                <w:color w:val="000000"/>
                <w:szCs w:val="21"/>
              </w:rPr>
            </w:pPr>
            <w:r>
              <w:rPr>
                <w:rFonts w:hint="eastAsia"/>
                <w:color w:val="000000"/>
                <w:szCs w:val="21"/>
              </w:rPr>
              <w:t>涉及生产部的环境和职业健康安全管理目标及完成情况：</w:t>
            </w:r>
          </w:p>
          <w:p>
            <w:pPr>
              <w:numPr>
                <w:ilvl w:val="0"/>
                <w:numId w:val="1"/>
              </w:numPr>
              <w:snapToGrid w:val="0"/>
              <w:ind w:firstLine="420" w:firstLineChars="200"/>
              <w:rPr>
                <w:rFonts w:hint="eastAsia"/>
                <w:color w:val="000000"/>
                <w:szCs w:val="21"/>
                <w:lang w:val="en-US" w:eastAsia="zh-CN"/>
              </w:rPr>
            </w:pPr>
            <w:r>
              <w:rPr>
                <w:rFonts w:hint="eastAsia"/>
                <w:color w:val="000000"/>
                <w:szCs w:val="21"/>
                <w:lang w:val="en-US" w:eastAsia="zh-CN"/>
              </w:rPr>
              <w:t>生产现场噪声、废气、废水排放达标</w:t>
            </w:r>
          </w:p>
          <w:p>
            <w:pPr>
              <w:numPr>
                <w:ilvl w:val="0"/>
                <w:numId w:val="1"/>
              </w:numPr>
              <w:snapToGrid w:val="0"/>
              <w:ind w:firstLine="420" w:firstLineChars="200"/>
              <w:rPr>
                <w:rFonts w:hint="default"/>
                <w:color w:val="000000"/>
                <w:szCs w:val="21"/>
                <w:lang w:val="en-US" w:eastAsia="zh-CN"/>
              </w:rPr>
            </w:pPr>
            <w:r>
              <w:rPr>
                <w:rFonts w:hint="eastAsia"/>
                <w:color w:val="000000"/>
                <w:szCs w:val="21"/>
                <w:lang w:val="en-US" w:eastAsia="zh-CN"/>
              </w:rPr>
              <w:t>生产场所分类处理各类废弃物，有专门收集箱并标识，回收处理率100%</w:t>
            </w:r>
          </w:p>
          <w:p>
            <w:pPr>
              <w:snapToGrid w:val="0"/>
              <w:rPr>
                <w:color w:val="000000"/>
                <w:szCs w:val="21"/>
              </w:rPr>
            </w:pPr>
          </w:p>
          <w:p>
            <w:pPr>
              <w:snapToGrid w:val="0"/>
              <w:ind w:firstLine="420" w:firstLineChars="200"/>
              <w:rPr>
                <w:color w:val="000000"/>
                <w:szCs w:val="21"/>
                <w:highlight w:val="yellow"/>
              </w:rPr>
            </w:pPr>
            <w:r>
              <w:rPr>
                <w:rFonts w:hint="eastAsia"/>
                <w:color w:val="000000"/>
                <w:szCs w:val="21"/>
              </w:rPr>
              <w:t>目标可测量，与公司方针一致。根据提供的数据显示，以上管理目标已全部完成，考核：</w:t>
            </w:r>
            <w:r>
              <w:rPr>
                <w:rFonts w:hint="eastAsia"/>
                <w:color w:val="000000"/>
                <w:szCs w:val="21"/>
                <w:lang w:eastAsia="zh-CN"/>
              </w:rPr>
              <w:t>胡玉涛</w:t>
            </w:r>
            <w:r>
              <w:rPr>
                <w:rFonts w:hint="eastAsia"/>
                <w:color w:val="000000"/>
                <w:szCs w:val="21"/>
              </w:rPr>
              <w:t xml:space="preserve"> </w:t>
            </w:r>
            <w:r>
              <w:rPr>
                <w:color w:val="000000"/>
                <w:szCs w:val="21"/>
              </w:rPr>
              <w:t xml:space="preserve"> </w:t>
            </w:r>
            <w:r>
              <w:rPr>
                <w:rFonts w:hint="eastAsia"/>
                <w:color w:val="000000"/>
                <w:szCs w:val="21"/>
              </w:rPr>
              <w:t>审批：</w:t>
            </w:r>
            <w:r>
              <w:rPr>
                <w:rFonts w:hint="eastAsia"/>
                <w:color w:val="000000"/>
                <w:szCs w:val="21"/>
                <w:lang w:eastAsia="zh-CN"/>
              </w:rPr>
              <w:t>耿辉</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160" w:type="dxa"/>
          </w:tcPr>
          <w:p>
            <w:pPr>
              <w:rPr>
                <w:rFonts w:ascii="宋体" w:hAnsi="宋体" w:cs="Arial"/>
                <w:szCs w:val="21"/>
              </w:rPr>
            </w:pPr>
            <w:r>
              <w:rPr>
                <w:rFonts w:hint="eastAsia" w:ascii="宋体" w:hAnsi="宋体" w:cs="Arial"/>
                <w:szCs w:val="21"/>
              </w:rPr>
              <w:t>环境因素/危险源辨识与评价</w:t>
            </w:r>
          </w:p>
          <w:p>
            <w:r>
              <w:rPr>
                <w:rFonts w:hint="eastAsia" w:ascii="宋体" w:hAnsi="宋体" w:cs="Arial"/>
                <w:szCs w:val="21"/>
              </w:rPr>
              <w:t>应对措施</w:t>
            </w:r>
          </w:p>
        </w:tc>
        <w:tc>
          <w:tcPr>
            <w:tcW w:w="960" w:type="dxa"/>
          </w:tcPr>
          <w:p>
            <w:pPr>
              <w:rPr>
                <w:rFonts w:ascii="宋体" w:hAnsi="宋体" w:cs="Arial"/>
                <w:szCs w:val="21"/>
              </w:rPr>
            </w:pPr>
            <w:r>
              <w:rPr>
                <w:rFonts w:hint="eastAsia" w:ascii="宋体" w:hAnsi="宋体" w:cs="Arial"/>
                <w:szCs w:val="21"/>
                <w:lang w:eastAsia="zh-CN"/>
              </w:rPr>
              <w:t>E</w:t>
            </w:r>
            <w:r>
              <w:rPr>
                <w:rFonts w:hint="eastAsia" w:ascii="宋体" w:hAnsi="宋体" w:cs="Arial"/>
                <w:szCs w:val="21"/>
              </w:rPr>
              <w:t>6.1.2</w:t>
            </w:r>
          </w:p>
          <w:p>
            <w:pPr>
              <w:rPr>
                <w:rFonts w:ascii="宋体" w:hAnsi="宋体" w:cs="Arial"/>
                <w:szCs w:val="21"/>
              </w:rPr>
            </w:pPr>
            <w:r>
              <w:rPr>
                <w:rFonts w:hint="eastAsia" w:ascii="宋体" w:hAnsi="宋体" w:cs="Arial"/>
                <w:szCs w:val="21"/>
                <w:lang w:eastAsia="zh-CN"/>
              </w:rPr>
              <w:t>E</w:t>
            </w:r>
            <w:r>
              <w:rPr>
                <w:rFonts w:ascii="宋体" w:hAnsi="宋体" w:cs="Arial"/>
                <w:szCs w:val="21"/>
              </w:rPr>
              <w:t>6.1.4</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提供了《环境因素识别和评价表》，识别的环境因素标明时态、状态和对环境的影响；经查阅识别出对在生产区域的</w:t>
            </w:r>
            <w:r>
              <w:rPr>
                <w:rFonts w:hint="eastAsia" w:ascii="宋体" w:hAnsi="宋体" w:cs="宋体"/>
                <w:szCs w:val="21"/>
                <w:lang w:val="en-US" w:eastAsia="zh-CN"/>
              </w:rPr>
              <w:t>喷塑工序、固化工序废气和天然气燃烧处理的废气排放</w:t>
            </w:r>
            <w:r>
              <w:rPr>
                <w:rFonts w:hint="eastAsia"/>
                <w:szCs w:val="21"/>
              </w:rPr>
              <w:t>、噪声的产生、</w:t>
            </w:r>
            <w:r>
              <w:rPr>
                <w:rFonts w:hint="eastAsia"/>
                <w:szCs w:val="21"/>
                <w:lang w:val="en-US" w:eastAsia="zh-CN"/>
              </w:rPr>
              <w:t>含油抹布</w:t>
            </w:r>
            <w:r>
              <w:rPr>
                <w:rFonts w:hint="eastAsia"/>
                <w:szCs w:val="21"/>
              </w:rPr>
              <w:t>、废活性炭</w:t>
            </w:r>
            <w:r>
              <w:rPr>
                <w:rFonts w:hint="eastAsia"/>
                <w:szCs w:val="21"/>
                <w:lang w:eastAsia="zh-CN"/>
              </w:rPr>
              <w:t>、</w:t>
            </w:r>
            <w:r>
              <w:rPr>
                <w:rFonts w:hint="eastAsia"/>
                <w:szCs w:val="21"/>
                <w:lang w:val="en-US" w:eastAsia="zh-CN"/>
              </w:rPr>
              <w:t>废气边角料</w:t>
            </w:r>
            <w:r>
              <w:rPr>
                <w:rFonts w:hint="eastAsia"/>
                <w:szCs w:val="21"/>
              </w:rPr>
              <w:t>等的排放等环境因素及考虑到环境管理体系发生变更时可能产生的环境因素。编制：</w:t>
            </w:r>
            <w:r>
              <w:rPr>
                <w:rFonts w:hint="eastAsia"/>
                <w:szCs w:val="21"/>
                <w:lang w:val="en-US" w:eastAsia="zh-CN"/>
              </w:rPr>
              <w:t>吴天伟、郑红梅</w:t>
            </w:r>
            <w:r>
              <w:rPr>
                <w:rFonts w:hint="eastAsia"/>
                <w:szCs w:val="21"/>
              </w:rPr>
              <w:t>；审批：</w:t>
            </w:r>
            <w:r>
              <w:rPr>
                <w:rFonts w:hint="eastAsia"/>
                <w:szCs w:val="21"/>
                <w:lang w:eastAsia="zh-CN"/>
              </w:rPr>
              <w:t>耿辉</w:t>
            </w:r>
            <w:r>
              <w:rPr>
                <w:rFonts w:hint="eastAsia"/>
                <w:szCs w:val="21"/>
              </w:rPr>
              <w:t>；日期：</w:t>
            </w:r>
            <w:r>
              <w:rPr>
                <w:szCs w:val="21"/>
              </w:rPr>
              <w:t>2020.</w:t>
            </w:r>
            <w:r>
              <w:rPr>
                <w:rFonts w:hint="eastAsia"/>
                <w:szCs w:val="21"/>
                <w:lang w:val="en-US" w:eastAsia="zh-CN"/>
              </w:rPr>
              <w:t>7</w:t>
            </w:r>
            <w:r>
              <w:rPr>
                <w:szCs w:val="21"/>
              </w:rPr>
              <w:t>.1</w:t>
            </w:r>
            <w:r>
              <w:rPr>
                <w:rFonts w:hint="eastAsia"/>
                <w:szCs w:val="21"/>
                <w:lang w:val="en-US" w:eastAsia="zh-CN"/>
              </w:rPr>
              <w:t>8</w:t>
            </w:r>
            <w:r>
              <w:rPr>
                <w:rFonts w:hint="eastAsia"/>
                <w:szCs w:val="21"/>
              </w:rPr>
              <w:t>。</w:t>
            </w:r>
          </w:p>
          <w:p>
            <w:pPr>
              <w:spacing w:line="280" w:lineRule="exact"/>
              <w:ind w:firstLine="420" w:firstLineChars="200"/>
              <w:rPr>
                <w:szCs w:val="21"/>
              </w:rPr>
            </w:pPr>
            <w:r>
              <w:rPr>
                <w:rFonts w:hint="eastAsia"/>
                <w:szCs w:val="21"/>
              </w:rPr>
              <w:t>重要环境因素由办公室统计综合评分方法确定重要环境因素，提供了“重要环境因素清单”：本部门的重要环境因素：</w:t>
            </w:r>
          </w:p>
          <w:p>
            <w:pPr>
              <w:pStyle w:val="15"/>
              <w:numPr>
                <w:ilvl w:val="0"/>
                <w:numId w:val="2"/>
              </w:numPr>
              <w:spacing w:line="280" w:lineRule="exact"/>
              <w:ind w:firstLineChars="0"/>
              <w:rPr>
                <w:szCs w:val="21"/>
              </w:rPr>
            </w:pPr>
            <w:r>
              <w:rPr>
                <w:rFonts w:hint="eastAsia"/>
                <w:szCs w:val="21"/>
              </w:rPr>
              <w:t>噪声的排放：车间生产设备发出的噪声；场内的运输车、工具车等车辆运输作业时的噪声；</w:t>
            </w:r>
          </w:p>
          <w:p>
            <w:pPr>
              <w:pStyle w:val="15"/>
              <w:numPr>
                <w:ilvl w:val="0"/>
                <w:numId w:val="2"/>
              </w:numPr>
              <w:spacing w:line="280" w:lineRule="exact"/>
              <w:ind w:firstLineChars="0"/>
              <w:rPr>
                <w:szCs w:val="21"/>
              </w:rPr>
            </w:pPr>
            <w:r>
              <w:rPr>
                <w:rFonts w:hint="eastAsia"/>
                <w:szCs w:val="21"/>
              </w:rPr>
              <w:t>废水的排放：生活废水的排放；</w:t>
            </w:r>
          </w:p>
          <w:p>
            <w:pPr>
              <w:pStyle w:val="15"/>
              <w:numPr>
                <w:ilvl w:val="0"/>
                <w:numId w:val="2"/>
              </w:numPr>
              <w:spacing w:line="280" w:lineRule="exact"/>
              <w:ind w:firstLineChars="0"/>
              <w:rPr>
                <w:szCs w:val="21"/>
              </w:rPr>
            </w:pPr>
            <w:r>
              <w:rPr>
                <w:rFonts w:hint="eastAsia"/>
                <w:szCs w:val="21"/>
              </w:rPr>
              <w:t>废气的排放：</w:t>
            </w:r>
            <w:r>
              <w:rPr>
                <w:rFonts w:hint="eastAsia"/>
                <w:szCs w:val="21"/>
                <w:lang w:val="en-US" w:eastAsia="zh-CN"/>
              </w:rPr>
              <w:t>粉尘、非甲烷总烃</w:t>
            </w:r>
            <w:r>
              <w:rPr>
                <w:rFonts w:hint="eastAsia"/>
                <w:szCs w:val="21"/>
              </w:rPr>
              <w:t>；</w:t>
            </w:r>
          </w:p>
          <w:p>
            <w:pPr>
              <w:pStyle w:val="15"/>
              <w:numPr>
                <w:ilvl w:val="0"/>
                <w:numId w:val="2"/>
              </w:numPr>
              <w:spacing w:line="280" w:lineRule="exact"/>
              <w:ind w:firstLineChars="0"/>
              <w:rPr>
                <w:szCs w:val="21"/>
              </w:rPr>
            </w:pPr>
            <w:r>
              <w:rPr>
                <w:rFonts w:hint="eastAsia"/>
                <w:szCs w:val="21"/>
              </w:rPr>
              <w:t>资源的消耗：生产用电、水等的消耗；办公用电、办公用品等的消耗；</w:t>
            </w:r>
          </w:p>
          <w:p>
            <w:pPr>
              <w:pStyle w:val="15"/>
              <w:numPr>
                <w:ilvl w:val="0"/>
                <w:numId w:val="2"/>
              </w:numPr>
              <w:spacing w:line="280" w:lineRule="exact"/>
              <w:ind w:firstLineChars="0"/>
              <w:rPr>
                <w:szCs w:val="21"/>
              </w:rPr>
            </w:pPr>
            <w:r>
              <w:rPr>
                <w:rFonts w:hint="eastAsia"/>
                <w:szCs w:val="21"/>
              </w:rPr>
              <w:t>潜在火灾事故的发生：办公室的易燃物品管理不慎，吸烟等明火引发的火灾；车间和仓库包装材料等易燃品管理不慎引发的火灾；电器短路火灾的发生；</w:t>
            </w:r>
          </w:p>
          <w:p>
            <w:pPr>
              <w:pStyle w:val="15"/>
              <w:numPr>
                <w:ilvl w:val="0"/>
                <w:numId w:val="2"/>
              </w:numPr>
              <w:spacing w:line="280" w:lineRule="exact"/>
              <w:ind w:firstLineChars="0"/>
              <w:rPr>
                <w:szCs w:val="21"/>
              </w:rPr>
            </w:pPr>
            <w:r>
              <w:rPr>
                <w:rFonts w:hint="eastAsia"/>
                <w:szCs w:val="21"/>
              </w:rPr>
              <w:t>危废弃物的排放：设备维修后含油</w:t>
            </w:r>
            <w:r>
              <w:rPr>
                <w:rFonts w:hint="eastAsia"/>
                <w:szCs w:val="21"/>
                <w:lang w:val="en-US" w:eastAsia="zh-CN"/>
              </w:rPr>
              <w:t>抹</w:t>
            </w:r>
            <w:r>
              <w:rPr>
                <w:rFonts w:hint="eastAsia"/>
                <w:szCs w:val="21"/>
              </w:rPr>
              <w:t>布、含油配件的处置，废废活性炭、</w:t>
            </w:r>
            <w:r>
              <w:rPr>
                <w:rFonts w:hint="eastAsia"/>
                <w:szCs w:val="21"/>
                <w:lang w:val="en-US" w:eastAsia="zh-CN"/>
              </w:rPr>
              <w:t>焊</w:t>
            </w:r>
            <w:r>
              <w:rPr>
                <w:rFonts w:hint="eastAsia"/>
                <w:szCs w:val="21"/>
              </w:rPr>
              <w:t>渣处置</w:t>
            </w:r>
            <w:r>
              <w:rPr>
                <w:rFonts w:hint="eastAsia"/>
                <w:szCs w:val="21"/>
                <w:lang w:eastAsia="zh-CN"/>
              </w:rPr>
              <w:t>。</w:t>
            </w:r>
          </w:p>
          <w:p>
            <w:pPr>
              <w:spacing w:line="280" w:lineRule="exact"/>
              <w:ind w:firstLine="420" w:firstLineChars="200"/>
              <w:rPr>
                <w:szCs w:val="21"/>
              </w:rPr>
            </w:pPr>
            <w:r>
              <w:rPr>
                <w:rFonts w:hint="eastAsia"/>
                <w:szCs w:val="21"/>
              </w:rPr>
              <w:t>提供了针对重要环境因素，编制环境目标、指标及管理方案及实施一览表，内容包括：目标、指标、主要措施、责任部门、经费、时间要求等。编制：</w:t>
            </w:r>
            <w:r>
              <w:rPr>
                <w:rFonts w:hint="eastAsia"/>
                <w:szCs w:val="21"/>
                <w:lang w:val="en-US" w:eastAsia="zh-CN"/>
              </w:rPr>
              <w:t>郑红梅</w:t>
            </w:r>
            <w:r>
              <w:rPr>
                <w:szCs w:val="21"/>
              </w:rPr>
              <w:t xml:space="preserve">   </w:t>
            </w:r>
            <w:r>
              <w:rPr>
                <w:rFonts w:hint="eastAsia"/>
                <w:szCs w:val="21"/>
              </w:rPr>
              <w:t>审批：</w:t>
            </w:r>
            <w:r>
              <w:rPr>
                <w:rFonts w:hint="eastAsia"/>
                <w:szCs w:val="21"/>
                <w:lang w:eastAsia="zh-CN"/>
              </w:rPr>
              <w:t>耿辉</w:t>
            </w:r>
            <w:r>
              <w:rPr>
                <w:rFonts w:hint="eastAsia"/>
                <w:szCs w:val="21"/>
              </w:rPr>
              <w:t>；日期：</w:t>
            </w:r>
            <w:r>
              <w:rPr>
                <w:szCs w:val="21"/>
              </w:rPr>
              <w:t>2020.</w:t>
            </w:r>
            <w:r>
              <w:rPr>
                <w:rFonts w:hint="eastAsia"/>
                <w:szCs w:val="21"/>
                <w:lang w:val="en-US" w:eastAsia="zh-CN"/>
              </w:rPr>
              <w:t>7</w:t>
            </w:r>
            <w:r>
              <w:rPr>
                <w:szCs w:val="21"/>
              </w:rPr>
              <w:t>.</w:t>
            </w:r>
            <w:r>
              <w:rPr>
                <w:rFonts w:hint="eastAsia"/>
                <w:szCs w:val="21"/>
                <w:lang w:val="en-US" w:eastAsia="zh-CN"/>
              </w:rPr>
              <w:t>20</w:t>
            </w:r>
          </w:p>
        </w:tc>
        <w:tc>
          <w:tcPr>
            <w:tcW w:w="1585" w:type="dxa"/>
          </w:tcPr>
          <w:p>
            <w:r>
              <w:rPr>
                <w:rFonts w:hint="eastAsia"/>
              </w:rPr>
              <w:t>Y</w:t>
            </w:r>
          </w:p>
          <w:p/>
          <w:p/>
          <w:p/>
          <w:p/>
          <w:p/>
          <w:p/>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rFonts w:hint="eastAsia" w:eastAsia="宋体"/>
                <w:szCs w:val="21"/>
                <w:lang w:eastAsia="zh-CN"/>
              </w:rPr>
            </w:pPr>
            <w:r>
              <w:rPr>
                <w:rFonts w:hint="eastAsia"/>
                <w:szCs w:val="21"/>
                <w:lang w:eastAsia="zh-CN"/>
              </w:rPr>
              <w:t>E</w:t>
            </w:r>
          </w:p>
          <w:p>
            <w:pPr>
              <w:spacing w:line="280" w:lineRule="exact"/>
              <w:rPr>
                <w:szCs w:val="21"/>
              </w:rPr>
            </w:pPr>
            <w:r>
              <w:rPr>
                <w:rFonts w:hint="eastAsia"/>
                <w:szCs w:val="21"/>
              </w:rPr>
              <w:t>8.1</w:t>
            </w:r>
          </w:p>
        </w:tc>
        <w:tc>
          <w:tcPr>
            <w:tcW w:w="10004" w:type="dxa"/>
            <w:vAlign w:val="center"/>
          </w:tcPr>
          <w:p>
            <w:pPr>
              <w:spacing w:line="280" w:lineRule="exact"/>
              <w:rPr>
                <w:rFonts w:hint="eastAsia"/>
                <w:szCs w:val="21"/>
              </w:rPr>
            </w:pPr>
            <w:r>
              <w:rPr>
                <w:rFonts w:hint="eastAsia"/>
                <w:szCs w:val="21"/>
              </w:rPr>
              <w:t>生产部按照风险机遇、环境因素、危险源的识别和评价情况以及所确定的应对措施，进行贯彻实施。</w:t>
            </w:r>
          </w:p>
          <w:p>
            <w:pPr>
              <w:spacing w:line="280" w:lineRule="exact"/>
              <w:rPr>
                <w:rFonts w:hint="eastAsia"/>
                <w:szCs w:val="21"/>
                <w:lang w:val="en-US" w:eastAsia="zh-CN"/>
              </w:rPr>
            </w:pPr>
            <w:r>
              <w:rPr>
                <w:rFonts w:hint="eastAsia"/>
                <w:szCs w:val="21"/>
                <w:lang w:val="en-US" w:eastAsia="zh-CN"/>
              </w:rPr>
              <w:t>生产部经理介绍，公司的主要生产过程为钢材切割、折弯、冲压、焊接、喷塑固化、组装、调试，其中产生的环境因素为，噪声污染、危险固废排放、水电消耗、废气排放。</w:t>
            </w:r>
          </w:p>
          <w:p>
            <w:pPr>
              <w:spacing w:line="280" w:lineRule="exact"/>
              <w:rPr>
                <w:rFonts w:hint="default"/>
                <w:szCs w:val="21"/>
                <w:lang w:val="en-US" w:eastAsia="zh-CN"/>
              </w:rPr>
            </w:pPr>
            <w:r>
              <w:rPr>
                <w:rFonts w:hint="eastAsia"/>
                <w:szCs w:val="21"/>
                <w:lang w:val="en-US" w:eastAsia="zh-CN"/>
              </w:rPr>
              <w:t>其中废水的主要污染源为生活废水，控制措施为经化粪池预处理后通过城镇管道纳入污水厂处理；废气主要污染源卫喷塑粉尘、固化废气的排放，喷塑粉尘的控制措施为：经设备自带的脉冲式（滤芯）布袋除尘土装置处置后，经独立的15m排气筒高空排放；固化废气经两道活性炭吸附装置处理达标后，经独立的15m排气筒高空排放；噪声的排放主要为加工机械、空压机产生的噪声，控制措施：关闭车间门窗；加强管理和设备维护；减少或降低人为噪声的产生、加装减震垫等。固废的排放主要为喷塑粉尘、生活垃圾、废活性炭，喷塑粉尘控制措施为收集后回用于喷塑工序，生活垃圾委托环卫部门统一清运；废活性炭委托资质单位进行处置。</w:t>
            </w:r>
          </w:p>
          <w:p>
            <w:pPr>
              <w:spacing w:line="280" w:lineRule="exact"/>
              <w:rPr>
                <w:rFonts w:hint="eastAsia"/>
                <w:bCs/>
              </w:rPr>
            </w:pPr>
            <w:r>
              <w:rPr>
                <w:rFonts w:hint="eastAsia" w:ascii="方正仿宋简体" w:eastAsia="方正仿宋简体"/>
                <w:b/>
                <w:lang w:val="en-US" w:eastAsia="zh-CN"/>
              </w:rPr>
              <w:t>审核发现，危废仓库未设置灭火设备、未提供物品进出登记本、未设置危险废物警示牌；N</w:t>
            </w:r>
          </w:p>
          <w:p>
            <w:pPr>
              <w:rPr>
                <w:rFonts w:hint="eastAsia"/>
                <w:highlight w:val="yellow"/>
              </w:rPr>
            </w:pPr>
          </w:p>
        </w:tc>
        <w:tc>
          <w:tcPr>
            <w:tcW w:w="1585" w:type="dxa"/>
          </w:tcPr>
          <w:p>
            <w:r>
              <w:t>N</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hint="eastAsia" w:ascii="宋体" w:hAnsi="宋体" w:eastAsia="宋体" w:cs="Arial"/>
                <w:szCs w:val="21"/>
                <w:lang w:eastAsia="zh-CN"/>
              </w:rPr>
            </w:pPr>
            <w:r>
              <w:rPr>
                <w:rFonts w:hint="eastAsia" w:ascii="宋体" w:hAnsi="宋体" w:cs="Arial"/>
                <w:szCs w:val="21"/>
                <w:lang w:eastAsia="zh-CN"/>
              </w:rPr>
              <w:t>E</w:t>
            </w:r>
          </w:p>
          <w:p>
            <w:pPr>
              <w:rPr>
                <w:rFonts w:ascii="宋体" w:hAnsi="宋体" w:cs="Arial"/>
                <w:szCs w:val="21"/>
              </w:rPr>
            </w:pPr>
            <w:r>
              <w:rPr>
                <w:rFonts w:hint="eastAsia" w:ascii="宋体" w:hAnsi="宋体" w:cs="Arial"/>
                <w:szCs w:val="21"/>
              </w:rPr>
              <w:t xml:space="preserve">8.2 </w:t>
            </w:r>
          </w:p>
        </w:tc>
        <w:tc>
          <w:tcPr>
            <w:tcW w:w="10004" w:type="dxa"/>
            <w:vAlign w:val="center"/>
          </w:tcPr>
          <w:p>
            <w:pPr>
              <w:rPr>
                <w:szCs w:val="21"/>
              </w:rPr>
            </w:pPr>
            <w:r>
              <w:rPr>
                <w:rFonts w:hint="eastAsia"/>
                <w:szCs w:val="21"/>
              </w:rPr>
              <w:t>编制了《应急准备和响应控制程序》，查看内容基本符合要求。</w:t>
            </w:r>
          </w:p>
          <w:p>
            <w:pPr>
              <w:rPr>
                <w:szCs w:val="21"/>
              </w:rPr>
            </w:pPr>
            <w:r>
              <w:rPr>
                <w:rFonts w:hint="eastAsia"/>
                <w:szCs w:val="21"/>
              </w:rPr>
              <w:t>策划成立了义务消防队，包括</w:t>
            </w:r>
            <w:r>
              <w:rPr>
                <w:rFonts w:hint="eastAsia"/>
                <w:szCs w:val="21"/>
                <w:lang w:val="en-US" w:eastAsia="zh-CN"/>
              </w:rPr>
              <w:t>胡玉涛、郑红梅、王重炎、陈秋月、叶伟、郑广恒、谢家荣等</w:t>
            </w:r>
            <w:r>
              <w:rPr>
                <w:rFonts w:hint="eastAsia"/>
                <w:szCs w:val="21"/>
              </w:rPr>
              <w:t>；应急预案包括紧急应变处理流程图</w:t>
            </w:r>
            <w:r>
              <w:rPr>
                <w:rFonts w:hint="eastAsia"/>
                <w:szCs w:val="21"/>
                <w:lang w:eastAsia="zh-CN"/>
              </w:rPr>
              <w:t>，</w:t>
            </w:r>
            <w:r>
              <w:rPr>
                <w:rFonts w:hint="eastAsia"/>
                <w:szCs w:val="21"/>
              </w:rPr>
              <w:t>火灾、有毒气体中毒、中暑应急预案等应急预案。通过以上评估，公司应急预案的制定基本合理。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020.8.</w:t>
            </w:r>
            <w:r>
              <w:rPr>
                <w:rFonts w:hint="eastAsia"/>
                <w:szCs w:val="21"/>
                <w:lang w:val="en-US" w:eastAsia="zh-CN"/>
              </w:rPr>
              <w:t>1</w:t>
            </w:r>
            <w:r>
              <w:rPr>
                <w:szCs w:val="21"/>
              </w:rPr>
              <w:t>3</w:t>
            </w:r>
            <w:r>
              <w:rPr>
                <w:rFonts w:hint="eastAsia"/>
                <w:szCs w:val="21"/>
              </w:rPr>
              <w:t>消防灭火演练，参加人员包括总指挥</w:t>
            </w:r>
            <w:r>
              <w:rPr>
                <w:rFonts w:hint="eastAsia"/>
                <w:szCs w:val="21"/>
                <w:lang w:eastAsia="zh-CN"/>
              </w:rPr>
              <w:t>耿辉</w:t>
            </w:r>
            <w:r>
              <w:rPr>
                <w:rFonts w:hint="eastAsia"/>
                <w:szCs w:val="21"/>
              </w:rPr>
              <w:t>，策划</w:t>
            </w:r>
            <w:r>
              <w:rPr>
                <w:rFonts w:hint="eastAsia"/>
                <w:szCs w:val="21"/>
                <w:lang w:val="en-US" w:eastAsia="zh-CN"/>
              </w:rPr>
              <w:t>胡玉涛</w:t>
            </w:r>
            <w:r>
              <w:rPr>
                <w:rFonts w:hint="eastAsia"/>
                <w:szCs w:val="21"/>
              </w:rPr>
              <w:t>，员工</w:t>
            </w:r>
            <w:r>
              <w:rPr>
                <w:rFonts w:hint="eastAsia"/>
                <w:szCs w:val="21"/>
                <w:lang w:val="en-US" w:eastAsia="zh-CN"/>
              </w:rPr>
              <w:t>王重炎、陈秋月、叶伟</w:t>
            </w:r>
            <w:r>
              <w:rPr>
                <w:rFonts w:hint="eastAsia"/>
                <w:szCs w:val="21"/>
              </w:rPr>
              <w:t>等</w:t>
            </w:r>
            <w:r>
              <w:rPr>
                <w:rFonts w:hint="eastAsia"/>
                <w:szCs w:val="21"/>
                <w:lang w:val="en-US" w:eastAsia="zh-CN"/>
              </w:rPr>
              <w:t>12</w:t>
            </w:r>
            <w:r>
              <w:rPr>
                <w:rFonts w:hint="eastAsia"/>
                <w:szCs w:val="21"/>
              </w:rPr>
              <w:t>名员工，记录了演练过程，存在的问题主要为要加强消防技能的的培训，普及全体员工的防火意识。并进行了总结评估。</w:t>
            </w:r>
          </w:p>
          <w:p>
            <w:pPr>
              <w:rPr>
                <w:szCs w:val="21"/>
              </w:rPr>
            </w:pPr>
            <w:r>
              <w:rPr>
                <w:rFonts w:hint="eastAsia"/>
                <w:szCs w:val="21"/>
              </w:rPr>
              <w:t>目前没有发生需响应的突发情况。应急管理基本符合要求要求。</w:t>
            </w:r>
          </w:p>
        </w:tc>
        <w:tc>
          <w:tcPr>
            <w:tcW w:w="1585" w:type="dxa"/>
          </w:tcPr>
          <w:p>
            <w:r>
              <w:rPr>
                <w:rFonts w:hint="eastAsia"/>
              </w:rPr>
              <w:t>Y</w:t>
            </w:r>
          </w:p>
        </w:tc>
      </w:tr>
    </w:tbl>
    <w:p>
      <w:r>
        <w:ptab w:relativeTo="margin" w:alignment="center" w:leader="none"/>
      </w:r>
    </w:p>
    <w:p>
      <w:bookmarkStart w:id="0" w:name="_GoBack"/>
      <w:bookmarkEnd w:id="0"/>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D0623"/>
    <w:multiLevelType w:val="singleLevel"/>
    <w:tmpl w:val="A60D0623"/>
    <w:lvl w:ilvl="0" w:tentative="0">
      <w:start w:val="1"/>
      <w:numFmt w:val="decimal"/>
      <w:suff w:val="nothing"/>
      <w:lvlText w:val="%1、"/>
      <w:lvlJc w:val="left"/>
    </w:lvl>
  </w:abstractNum>
  <w:abstractNum w:abstractNumId="1">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46370"/>
    <w:rsid w:val="00060CE2"/>
    <w:rsid w:val="00063F67"/>
    <w:rsid w:val="000841F8"/>
    <w:rsid w:val="000B7900"/>
    <w:rsid w:val="000D6436"/>
    <w:rsid w:val="001032CB"/>
    <w:rsid w:val="001538EB"/>
    <w:rsid w:val="001541DA"/>
    <w:rsid w:val="001A2755"/>
    <w:rsid w:val="001E2BA0"/>
    <w:rsid w:val="002D1F1C"/>
    <w:rsid w:val="00323D68"/>
    <w:rsid w:val="00376607"/>
    <w:rsid w:val="003852FD"/>
    <w:rsid w:val="003E6474"/>
    <w:rsid w:val="00411CE7"/>
    <w:rsid w:val="0044635D"/>
    <w:rsid w:val="00477697"/>
    <w:rsid w:val="004B16A6"/>
    <w:rsid w:val="004E074C"/>
    <w:rsid w:val="004E08A4"/>
    <w:rsid w:val="00500C21"/>
    <w:rsid w:val="00514D77"/>
    <w:rsid w:val="005E51DA"/>
    <w:rsid w:val="005F58CE"/>
    <w:rsid w:val="006350F0"/>
    <w:rsid w:val="0064766E"/>
    <w:rsid w:val="0066443D"/>
    <w:rsid w:val="0068005C"/>
    <w:rsid w:val="006C3B64"/>
    <w:rsid w:val="006E7A70"/>
    <w:rsid w:val="007420C5"/>
    <w:rsid w:val="007536EE"/>
    <w:rsid w:val="007B1A3B"/>
    <w:rsid w:val="007F5845"/>
    <w:rsid w:val="007F6B96"/>
    <w:rsid w:val="00802252"/>
    <w:rsid w:val="008048DA"/>
    <w:rsid w:val="00834B09"/>
    <w:rsid w:val="008722E9"/>
    <w:rsid w:val="00893291"/>
    <w:rsid w:val="008E0C8E"/>
    <w:rsid w:val="008E45B6"/>
    <w:rsid w:val="0094266C"/>
    <w:rsid w:val="00954EA8"/>
    <w:rsid w:val="009B7866"/>
    <w:rsid w:val="009C3AF7"/>
    <w:rsid w:val="00A07938"/>
    <w:rsid w:val="00A3276E"/>
    <w:rsid w:val="00A537CA"/>
    <w:rsid w:val="00A942EA"/>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9666B"/>
    <w:rsid w:val="00EF3EBB"/>
    <w:rsid w:val="00F13AB9"/>
    <w:rsid w:val="00F66D86"/>
    <w:rsid w:val="00F67463"/>
    <w:rsid w:val="00F922A5"/>
    <w:rsid w:val="00FB75CB"/>
    <w:rsid w:val="00FD12F5"/>
    <w:rsid w:val="00FD6519"/>
    <w:rsid w:val="014040CA"/>
    <w:rsid w:val="0D011D0F"/>
    <w:rsid w:val="1BA23E07"/>
    <w:rsid w:val="402E65D5"/>
    <w:rsid w:val="675B4EC8"/>
    <w:rsid w:val="6D8A68E2"/>
    <w:rsid w:val="76370214"/>
    <w:rsid w:val="7E7723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qFormat/>
    <w:uiPriority w:val="0"/>
    <w:rPr>
      <w:rFonts w:ascii="宋体" w:hAnsi="Times New Roman" w:eastAsia="宋体" w:cs="Times New Roman"/>
      <w:kern w:val="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409</Words>
  <Characters>2336</Characters>
  <Lines>19</Lines>
  <Paragraphs>5</Paragraphs>
  <TotalTime>4</TotalTime>
  <ScaleCrop>false</ScaleCrop>
  <LinksUpToDate>false</LinksUpToDate>
  <CharactersWithSpaces>2740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2020-11-07T03:22:00Z</dcterms:created>
  <dc:creator>微软用户</dc:creator>
  <cp:lastModifiedBy>森林</cp:lastModifiedBy>
  <dcterms:modified xsi:type="dcterms:W3CDTF">2020-12-06T09:11:06Z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