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rPr>
        <w:t>：</w:t>
      </w:r>
      <w:bookmarkStart w:id="0" w:name="组织名称"/>
      <w:r>
        <w:rPr>
          <w:rFonts w:hint="eastAsia" w:ascii="楷体" w:hAnsi="楷体" w:eastAsia="楷体" w:cs="Times New Roman"/>
          <w:b/>
          <w:color w:val="000000"/>
          <w:sz w:val="32"/>
          <w:szCs w:val="32"/>
        </w:rPr>
        <w:t>成都峡湾科技有限公司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843" w:type="dxa"/>
            <w:gridSpan w:val="2"/>
            <w:vAlign w:val="center"/>
          </w:tcPr>
          <w:p>
            <w:pPr>
              <w:jc w:val="center"/>
              <w:rPr>
                <w:b/>
                <w:sz w:val="21"/>
                <w:szCs w:val="21"/>
              </w:rPr>
            </w:pPr>
            <w:r>
              <w:rPr>
                <w:b/>
                <w:sz w:val="21"/>
                <w:szCs w:val="21"/>
              </w:rPr>
              <w:t>29.12.00,33.02.01,34.06.00</w:t>
            </w:r>
          </w:p>
        </w:tc>
        <w:tc>
          <w:tcPr>
            <w:tcW w:w="1614"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张智灵</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成都安普顿科技有限公司</w:t>
            </w:r>
          </w:p>
        </w:tc>
        <w:tc>
          <w:tcPr>
            <w:tcW w:w="1843" w:type="dxa"/>
            <w:gridSpan w:val="2"/>
            <w:vAlign w:val="center"/>
          </w:tcPr>
          <w:p>
            <w:pPr>
              <w:jc w:val="center"/>
              <w:rPr>
                <w:b/>
                <w:sz w:val="21"/>
                <w:szCs w:val="21"/>
              </w:rPr>
            </w:pPr>
            <w:r>
              <w:rPr>
                <w:b/>
                <w:sz w:val="21"/>
                <w:szCs w:val="21"/>
              </w:rPr>
              <w:t>33.02.01,33.02.04</w:t>
            </w:r>
          </w:p>
        </w:tc>
        <w:tc>
          <w:tcPr>
            <w:tcW w:w="1614" w:type="dxa"/>
            <w:vAlign w:val="center"/>
          </w:tcPr>
          <w:p>
            <w:pPr>
              <w:jc w:val="center"/>
              <w:rPr>
                <w:b/>
                <w:sz w:val="21"/>
                <w:szCs w:val="21"/>
              </w:rPr>
            </w:pPr>
            <w:r>
              <w:rPr>
                <w:b/>
                <w:sz w:val="21"/>
                <w:szCs w:val="21"/>
              </w:rPr>
              <w:t>ISC-JSZJ-070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成都峡湾科技有限公司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eastAsia" w:ascii="宋体" w:eastAsia="宋体"/>
                <w:b/>
                <w:sz w:val="21"/>
                <w:lang w:val="en-US" w:eastAsia="zh-CN"/>
              </w:rPr>
            </w:pPr>
            <w:r>
              <w:rPr>
                <w:rFonts w:hint="eastAsia" w:ascii="宋体"/>
                <w:b/>
                <w:sz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中国(四川)自由贸易试验区成都高新区益州大道中段722号5栋26层2604号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610041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中国(四川)自由贸易试验区成都高新区益州大道中段722号5栋26层2604号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中国(四川)自由贸易试验区成都高新区益州大道中段722号5栋26层2604号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610041</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朱晓寒</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028-85191842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刘坤路</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刘坤路</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严钢</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2020年12月03日 上午至2020年12月03日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cs="Times New Roman"/>
                <w:b/>
                <w:sz w:val="21"/>
                <w:szCs w:val="21"/>
              </w:rPr>
              <w:t>计算机应用软件开发及服务；电子产品、软件、电气设备技术咨询及销售服务</w:t>
            </w:r>
            <w:bookmarkEnd w:id="25"/>
            <w:r>
              <w:rPr>
                <w:rFonts w:hint="eastAsia" w:ascii="宋体" w:hAnsi="宋体" w:cs="Times New Roman"/>
                <w:b/>
                <w:sz w:val="21"/>
                <w:szCs w:val="21"/>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29.12.00;33.02.01;33.02.04;34.06.00</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2023.01.15</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2019.12.14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w:t>
      </w:r>
      <w:r>
        <w:rPr>
          <w:rFonts w:hint="eastAsia" w:ascii="宋体" w:hAnsi="宋体"/>
          <w:b/>
          <w:sz w:val="21"/>
          <w:szCs w:val="21"/>
          <w:lang w:val="en-US" w:eastAsia="zh-CN"/>
        </w:rPr>
        <w:t>2019年12月14日至2020年12月03日。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left="0" w:leftChars="0" w:firstLine="240" w:firstLineChars="1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Times New Roman"/>
                <w:color w:val="000000" w:themeColor="text1"/>
                <w:szCs w:val="22"/>
                <w:lang w:val="en-US" w:eastAsia="zh-CN"/>
              </w:rPr>
              <w:t>经营优质产品，提供完善服务，不断持续改进，追求顾客满意。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计算机应用软件开发及服务；电子产品、软件、电气设备技术咨询及销售服务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cs="Times New Roman"/>
                <w:szCs w:val="21"/>
                <w:lang w:val="en-US" w:eastAsia="zh-CN"/>
              </w:rPr>
              <w:t>软件研发过程</w:t>
            </w:r>
          </w:p>
          <w:p>
            <w:pPr>
              <w:tabs>
                <w:tab w:val="left" w:pos="540"/>
              </w:tabs>
              <w:spacing w:line="300" w:lineRule="exact"/>
              <w:ind w:left="201" w:hanging="201" w:hangingChars="100"/>
              <w:rPr>
                <w:rFonts w:hint="default" w:ascii="宋体" w:hAnsi="宋体" w:cs="Times New Roman"/>
                <w:szCs w:val="21"/>
                <w:lang w:val="en-US" w:eastAsia="zh-CN"/>
              </w:rPr>
            </w:pPr>
            <w:r>
              <w:rPr>
                <w:rFonts w:hint="eastAsia" w:ascii="宋体" w:hAnsi="宋体"/>
                <w:b/>
                <w:color w:val="000000" w:themeColor="text1"/>
                <w:sz w:val="20"/>
                <w:szCs w:val="20"/>
              </w:rPr>
              <w:t>需要确认过程：</w:t>
            </w:r>
            <w:r>
              <w:rPr>
                <w:rFonts w:hint="eastAsia" w:ascii="宋体" w:hAnsi="宋体" w:cs="Times New Roman"/>
                <w:szCs w:val="21"/>
                <w:lang w:val="en-US" w:eastAsia="zh-CN"/>
              </w:rPr>
              <w:t>软件研发过程、销售服务过程</w:t>
            </w:r>
          </w:p>
          <w:p>
            <w:pPr>
              <w:tabs>
                <w:tab w:val="left" w:pos="540"/>
              </w:tabs>
              <w:spacing w:line="300" w:lineRule="exact"/>
              <w:ind w:left="201" w:leftChars="0" w:hanging="201" w:hangingChars="100"/>
              <w:rPr>
                <w:rFonts w:ascii="宋体" w:hAnsi="宋体"/>
                <w:b/>
                <w:color w:val="000000" w:themeColor="text1"/>
                <w:szCs w:val="21"/>
              </w:rPr>
            </w:pPr>
            <w:r>
              <w:rPr>
                <w:b/>
                <w:color w:val="000000" w:themeColor="text1"/>
                <w:sz w:val="20"/>
                <w:szCs w:val="20"/>
              </w:rPr>
              <w:pict>
                <v:shape id="_x0000_s2051" o:spid="_x0000_s2051" o:spt="32" type="#_x0000_t32" style="position:absolute;left:0pt;margin-left:182.45pt;margin-top:12.75pt;height:0pt;width:261.75pt;z-index:25169203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7.9pt;margin-top:13.4pt;height:0pt;width:42pt;z-index:2516910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u w:val="none"/>
              </w:rPr>
              <w:t>理由：</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b/>
                <w:color w:val="000000" w:themeColor="text1"/>
                <w:sz w:val="20"/>
                <w:szCs w:val="20"/>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1、软件开发合格率100%</w:t>
            </w:r>
          </w:p>
          <w:p>
            <w:pPr>
              <w:spacing w:line="300" w:lineRule="exact"/>
              <w:rPr>
                <w:rFonts w:hint="default" w:ascii="宋体" w:hAnsi="宋体"/>
                <w:b/>
                <w:color w:val="000000" w:themeColor="text1"/>
                <w:lang w:val="en-US"/>
              </w:rPr>
            </w:pPr>
            <w:r>
              <w:rPr>
                <w:rFonts w:hint="eastAsia" w:ascii="宋体" w:hAnsi="宋体"/>
                <w:sz w:val="21"/>
                <w:szCs w:val="21"/>
                <w:lang w:val="en-US" w:eastAsia="zh-CN"/>
              </w:rPr>
              <w:t>2、顾客满意度达90分以上。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b/>
                <w:color w:val="000000" w:themeColor="text1"/>
                <w:sz w:val="20"/>
                <w:szCs w:val="20"/>
                <w:highlight w:val="none"/>
              </w:rPr>
            </w:pPr>
            <w:r>
              <w:rPr>
                <w:rFonts w:hint="eastAsia" w:ascii="宋体" w:hAnsi="宋体"/>
                <w:bCs/>
                <w:iCs/>
                <w:highlight w:val="none"/>
                <w:lang w:eastAsia="zh-CN"/>
              </w:rPr>
              <w:t>办公</w:t>
            </w:r>
            <w:r>
              <w:rPr>
                <w:rFonts w:hint="eastAsia" w:ascii="宋体" w:hAnsi="宋体"/>
                <w:bCs/>
                <w:iCs/>
                <w:highlight w:val="none"/>
              </w:rPr>
              <w:t>面积</w:t>
            </w:r>
            <w:r>
              <w:rPr>
                <w:rFonts w:hint="eastAsia" w:ascii="宋体" w:hAnsi="宋体"/>
                <w:bCs/>
                <w:iCs/>
                <w:highlight w:val="none"/>
                <w:lang w:val="en-US" w:eastAsia="zh-CN"/>
              </w:rPr>
              <w:t>123</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cs="Times New Roman"/>
                <w:szCs w:val="21"/>
                <w:highlight w:val="none"/>
                <w:lang w:val="en-US" w:eastAsia="zh-CN"/>
              </w:rPr>
              <w:t>计算机设备8台，打印机1台，游标卡尺、万用表、手机等</w:t>
            </w:r>
            <w:r>
              <w:rPr>
                <w:rFonts w:hint="eastAsia" w:ascii="宋体" w:hAnsi="宋体"/>
                <w:bCs/>
                <w:iCs/>
                <w:highlight w:val="none"/>
                <w:lang w:eastAsia="zh-CN"/>
              </w:rPr>
              <w:t>，可以</w:t>
            </w:r>
            <w:r>
              <w:rPr>
                <w:rFonts w:hint="eastAsia" w:ascii="宋体" w:hAnsi="宋体"/>
                <w:bCs/>
                <w:iCs/>
                <w:highlight w:val="none"/>
              </w:rPr>
              <w:t>满足生产需要。对设备按月方式进行点检维护保养，并实施。公司未建立信息管理系统用于生产和服务。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lang w:eastAsia="zh-CN"/>
              </w:rPr>
              <w:t>项目现场</w:t>
            </w:r>
            <w:r>
              <w:rPr>
                <w:rFonts w:hint="eastAsia" w:ascii="宋体" w:hAnsi="宋体" w:cs="宋体"/>
                <w:szCs w:val="21"/>
              </w:rPr>
              <w:t>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80" w:firstLineChars="200"/>
              <w:rPr>
                <w:rFonts w:hint="eastAsia" w:ascii="宋体" w:hAnsi="宋体" w:eastAsia="宋体"/>
                <w:b/>
                <w:color w:val="000000" w:themeColor="text1"/>
                <w:sz w:val="20"/>
                <w:szCs w:val="20"/>
                <w:highlight w:val="none"/>
                <w:lang w:eastAsia="zh-CN"/>
              </w:rPr>
            </w:pPr>
            <w:r>
              <w:rPr>
                <w:rFonts w:hint="eastAsia" w:ascii="宋体" w:hAnsi="宋体" w:cs="宋体"/>
                <w:color w:val="000000"/>
                <w:szCs w:val="21"/>
                <w:highlight w:val="none"/>
              </w:rPr>
              <w:t>检验部门均按策划的要求配置了相应的检测设备</w:t>
            </w:r>
            <w:r>
              <w:rPr>
                <w:rFonts w:hint="eastAsia" w:ascii="宋体" w:hAnsi="宋体" w:cs="宋体"/>
                <w:color w:val="000000"/>
                <w:szCs w:val="21"/>
                <w:highlight w:val="none"/>
                <w:lang w:eastAsia="zh-CN"/>
              </w:rPr>
              <w:t>：</w:t>
            </w:r>
            <w:r>
              <w:rPr>
                <w:rFonts w:hint="eastAsia" w:ascii="宋体" w:hAnsi="宋体" w:cs="Times New Roman"/>
                <w:szCs w:val="21"/>
                <w:highlight w:val="none"/>
                <w:lang w:val="en-US" w:eastAsia="zh-CN"/>
              </w:rPr>
              <w:t>游标卡尺、万用表</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均采用委外送检的方式。</w:t>
            </w:r>
            <w:r>
              <w:rPr>
                <w:rFonts w:hint="eastAsia" w:ascii="宋体" w:hAnsi="宋体" w:cs="宋体"/>
                <w:color w:val="000000"/>
                <w:szCs w:val="21"/>
                <w:highlight w:val="none"/>
                <w:lang w:val="en-US" w:eastAsia="zh-CN"/>
              </w:rPr>
              <w:t>现场能提供</w:t>
            </w:r>
            <w:r>
              <w:rPr>
                <w:rFonts w:hint="eastAsia" w:ascii="宋体" w:hAnsi="宋体" w:cs="宋体"/>
                <w:color w:val="000000"/>
                <w:szCs w:val="21"/>
                <w:highlight w:val="none"/>
              </w:rPr>
              <w:t>在用检具的检定或校准证书</w:t>
            </w:r>
            <w:r>
              <w:rPr>
                <w:rFonts w:hint="eastAsia" w:ascii="宋体" w:hAnsi="宋体" w:cs="宋体"/>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rPr>
              <w:t>10. 对特种设备</w:t>
            </w:r>
            <w:r>
              <w:rPr>
                <w:rFonts w:hint="eastAsia"/>
                <w:b/>
                <w:color w:val="000000" w:themeColor="text1"/>
                <w:sz w:val="20"/>
                <w:szCs w:val="20"/>
                <w:highlight w:val="none"/>
              </w:rPr>
              <w:t xml:space="preserve">的维护; </w:t>
            </w:r>
            <w:r>
              <w:rPr>
                <w:rFonts w:hint="eastAsia"/>
                <w:b/>
                <w:sz w:val="20"/>
                <w:szCs w:val="20"/>
                <w:highlight w:val="none"/>
              </w:rPr>
              <w:t>（适用时）</w:t>
            </w:r>
          </w:p>
          <w:p>
            <w:pPr>
              <w:ind w:left="240" w:leftChars="100" w:firstLine="100" w:firstLineChars="50"/>
              <w:jc w:val="left"/>
              <w:rPr>
                <w:b/>
                <w:color w:val="000000" w:themeColor="text1"/>
                <w:sz w:val="20"/>
                <w:szCs w:val="20"/>
              </w:rPr>
            </w:pPr>
            <w:r>
              <w:rPr>
                <w:rFonts w:hint="eastAsia"/>
                <w:b/>
                <w:sz w:val="20"/>
                <w:szCs w:val="20"/>
                <w:highlight w:val="none"/>
              </w:rPr>
              <w:t>特种设备</w:t>
            </w:r>
            <w:r>
              <w:rPr>
                <w:rFonts w:hint="eastAsia"/>
                <w:b/>
                <w:sz w:val="20"/>
                <w:szCs w:val="2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b/>
                <w:color w:val="000000" w:themeColor="text1"/>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600"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w:t>
            </w:r>
            <w:r>
              <w:rPr>
                <w:rFonts w:hint="eastAsia" w:ascii="宋体" w:hAnsi="宋体" w:cs="宋体"/>
                <w:color w:val="000000"/>
                <w:szCs w:val="21"/>
                <w:highlight w:val="none"/>
              </w:rPr>
              <w:t>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color w:val="000000"/>
                <w:szCs w:val="21"/>
                <w:highlight w:val="none"/>
              </w:rPr>
              <w:t>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26日</w:t>
            </w:r>
            <w:r>
              <w:rPr>
                <w:rFonts w:hint="eastAsia" w:ascii="宋体" w:hAnsi="宋体" w:cs="宋体"/>
                <w:color w:val="000000"/>
                <w:szCs w:val="21"/>
                <w:highlight w:val="none"/>
              </w:rPr>
              <w:t>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lang w:val="en-US" w:eastAsia="zh-CN"/>
              </w:rPr>
              <w:t>%</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textDirection w:val="tbRlV"/>
            <w:vAlign w:val="center"/>
          </w:tcPr>
          <w:p>
            <w:pPr>
              <w:spacing w:line="240" w:lineRule="exact"/>
              <w:ind w:left="201" w:leftChars="0" w:right="113" w:rightChars="0" w:hanging="201" w:hangingChars="100"/>
              <w:jc w:val="center"/>
              <w:rPr>
                <w:b/>
                <w:color w:val="000000" w:themeColor="text1"/>
                <w:sz w:val="20"/>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 w:val="20"/>
                <w:szCs w:val="20"/>
              </w:rPr>
            </w:pPr>
            <w:r>
              <w:rPr>
                <w:rFonts w:hint="eastAsia" w:ascii="宋体" w:hAnsi="宋体" w:cs="宋体"/>
                <w:szCs w:val="21"/>
              </w:rPr>
              <w:t>建立有《内部审核控制程序》，规定了内审频次一年一次，内</w:t>
            </w:r>
            <w:r>
              <w:rPr>
                <w:rFonts w:hint="eastAsia" w:ascii="宋体" w:hAnsi="宋体" w:cs="宋体"/>
                <w:szCs w:val="21"/>
                <w:highlight w:val="none"/>
              </w:rPr>
              <w:t>审</w:t>
            </w:r>
            <w:r>
              <w:rPr>
                <w:rFonts w:hint="eastAsia" w:ascii="宋体" w:hAnsi="宋体" w:cs="宋体"/>
                <w:szCs w:val="21"/>
              </w:rPr>
              <w:t>时间：</w:t>
            </w:r>
            <w:r>
              <w:rPr>
                <w:rFonts w:hint="eastAsia" w:ascii="宋体" w:hAnsi="宋体" w:cs="宋体"/>
                <w:szCs w:val="21"/>
                <w:lang w:eastAsia="zh-CN"/>
              </w:rPr>
              <w:t>2020年10月9日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 涉及</w:t>
            </w:r>
            <w:r>
              <w:rPr>
                <w:rFonts w:hint="eastAsia" w:ascii="宋体" w:hAnsi="宋体"/>
                <w:sz w:val="24"/>
                <w:szCs w:val="24"/>
                <w:lang w:val="en-US" w:eastAsia="zh-CN"/>
              </w:rPr>
              <w:t>市场部</w:t>
            </w:r>
            <w:r>
              <w:rPr>
                <w:rFonts w:hint="eastAsia" w:ascii="宋体" w:hAnsi="宋体"/>
                <w:sz w:val="24"/>
                <w:szCs w:val="24"/>
                <w:lang w:eastAsia="zh-CN"/>
              </w:rPr>
              <w:t>未</w:t>
            </w:r>
            <w:r>
              <w:rPr>
                <w:rFonts w:hint="eastAsia" w:ascii="宋体" w:hAnsi="宋体"/>
                <w:sz w:val="24"/>
                <w:szCs w:val="24"/>
                <w:lang w:val="en-US" w:eastAsia="zh-CN"/>
              </w:rPr>
              <w:t>对特</w:t>
            </w:r>
            <w:r>
              <w:rPr>
                <w:rFonts w:hint="eastAsia" w:ascii="宋体" w:hAnsi="宋体" w:cs="Times New Roman"/>
                <w:sz w:val="24"/>
                <w:szCs w:val="24"/>
                <w:lang w:val="en-US" w:eastAsia="zh-CN"/>
              </w:rPr>
              <w:t>殊过程：销售过程进行进行特殊过程确认，针对该不符合项，已及时采取纠正措施后，经内审员验证关闭。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20" w:type="dxa"/>
            <w:vMerge w:val="continue"/>
            <w:textDirection w:val="tbRlV"/>
            <w:vAlign w:val="center"/>
          </w:tcPr>
          <w:p>
            <w:pPr>
              <w:spacing w:line="240" w:lineRule="exact"/>
              <w:ind w:left="201" w:leftChars="0" w:right="113" w:rightChars="0"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cs="宋体"/>
                <w:szCs w:val="21"/>
                <w:highlight w:val="none"/>
              </w:rPr>
              <w:t>次管理评审于</w:t>
            </w:r>
            <w:r>
              <w:rPr>
                <w:rFonts w:hint="eastAsia" w:ascii="宋体" w:hAnsi="宋体" w:cs="宋体"/>
                <w:szCs w:val="21"/>
                <w:highlight w:val="none"/>
                <w:lang w:eastAsia="zh-CN"/>
              </w:rPr>
              <w:t>2020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 xml:space="preserve"> </w:t>
            </w:r>
            <w:r>
              <w:rPr>
                <w:rFonts w:hint="eastAsia" w:ascii="宋体" w:hAnsi="宋体" w:cs="宋体"/>
                <w:szCs w:val="21"/>
                <w:highlight w:val="none"/>
                <w:lang w:eastAsia="zh-CN"/>
              </w:rPr>
              <w:t>月</w:t>
            </w:r>
            <w:r>
              <w:rPr>
                <w:rFonts w:hint="eastAsia" w:ascii="宋体" w:hAnsi="宋体" w:cs="宋体"/>
                <w:szCs w:val="21"/>
                <w:highlight w:val="none"/>
                <w:lang w:val="en-US" w:eastAsia="zh-CN"/>
              </w:rPr>
              <w:t>2</w:t>
            </w:r>
            <w:r>
              <w:rPr>
                <w:rFonts w:hint="eastAsia" w:ascii="宋体" w:hAnsi="宋体" w:cs="宋体"/>
                <w:szCs w:val="21"/>
                <w:highlight w:val="none"/>
              </w:rPr>
              <w:t>日由总经理主持完成、提供主要输入材料有各部门总结，输入信息基本充分和满足要求。输出见“管理评审报告”, 做出了管理体系基</w:t>
            </w:r>
            <w:r>
              <w:rPr>
                <w:rFonts w:hint="eastAsia" w:ascii="宋体" w:hAnsi="宋体" w:cs="宋体"/>
                <w:szCs w:val="21"/>
              </w:rPr>
              <w:t>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b/>
                <w:color w:val="000000" w:themeColor="text1"/>
                <w:sz w:val="20"/>
                <w:szCs w:val="20"/>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leftChars="0"/>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Cs w:val="21"/>
                <w:lang w:val="en-US" w:eastAsia="zh-CN"/>
              </w:rPr>
            </w:pPr>
            <w:r>
              <w:rPr>
                <w:rFonts w:hint="eastAsia" w:ascii="宋体" w:hAnsi="宋体" w:cs="宋体"/>
                <w:color w:val="000000" w:themeColor="text1"/>
                <w:szCs w:val="22"/>
                <w:lang w:val="en-US" w:eastAsia="zh-CN"/>
              </w:rPr>
              <w:t>经现场验证上一次不符合7.5.3</w:t>
            </w:r>
            <w:bookmarkStart w:id="29" w:name="_GoBack"/>
            <w:bookmarkEnd w:id="29"/>
            <w:r>
              <w:rPr>
                <w:rFonts w:hint="eastAsia" w:ascii="宋体" w:hAnsi="宋体" w:cs="宋体"/>
                <w:color w:val="000000" w:themeColor="text1"/>
                <w:szCs w:val="22"/>
                <w:lang w:val="en-US" w:eastAsia="zh-CN"/>
              </w:rPr>
              <w:t>条款，本次未出现类视情况。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b/>
          <w:kern w:val="0"/>
          <w:sz w:val="20"/>
          <w:szCs w:val="20"/>
        </w:rPr>
        <w:drawing>
          <wp:anchor distT="0" distB="0" distL="114300" distR="114300" simplePos="0" relativeHeight="251693056" behindDoc="0" locked="0" layoutInCell="1" allowOverlap="1">
            <wp:simplePos x="0" y="0"/>
            <wp:positionH relativeFrom="column">
              <wp:posOffset>1764030</wp:posOffset>
            </wp:positionH>
            <wp:positionV relativeFrom="paragraph">
              <wp:posOffset>288290</wp:posOffset>
            </wp:positionV>
            <wp:extent cx="454025" cy="321310"/>
            <wp:effectExtent l="0" t="0" r="3175" b="254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6"/>
                    <a:stretch>
                      <a:fillRect/>
                    </a:stretch>
                  </pic:blipFill>
                  <pic:spPr>
                    <a:xfrm>
                      <a:off x="0" y="0"/>
                      <a:ext cx="454025" cy="32131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240" w:lineRule="auto"/>
        <w:ind w:firstLine="527" w:firstLineChars="250"/>
        <w:rPr>
          <w:rFonts w:hint="eastAsia" w:eastAsia="宋体"/>
          <w:b/>
          <w:sz w:val="21"/>
          <w:lang w:eastAsia="zh-CN"/>
        </w:rPr>
      </w:pPr>
      <w:r>
        <w:rPr>
          <w:rFonts w:hint="eastAsia" w:eastAsia="宋体"/>
          <w:b/>
          <w:sz w:val="21"/>
          <w:lang w:eastAsia="zh-CN"/>
        </w:rPr>
        <w:drawing>
          <wp:anchor distT="0" distB="0" distL="114300" distR="114300" simplePos="0" relativeHeight="251729920" behindDoc="0" locked="0" layoutInCell="1" allowOverlap="1">
            <wp:simplePos x="0" y="0"/>
            <wp:positionH relativeFrom="column">
              <wp:posOffset>1729740</wp:posOffset>
            </wp:positionH>
            <wp:positionV relativeFrom="paragraph">
              <wp:posOffset>112395</wp:posOffset>
            </wp:positionV>
            <wp:extent cx="631190" cy="251460"/>
            <wp:effectExtent l="0" t="0" r="16510" b="15240"/>
            <wp:wrapSquare wrapText="bothSides"/>
            <wp:docPr id="3" name="图片 3" descr="张智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智灵"/>
                    <pic:cNvPicPr>
                      <a:picLocks noChangeAspect="1"/>
                    </pic:cNvPicPr>
                  </pic:nvPicPr>
                  <pic:blipFill>
                    <a:blip r:embed="rId7"/>
                    <a:stretch>
                      <a:fillRect/>
                    </a:stretch>
                  </pic:blipFill>
                  <pic:spPr>
                    <a:xfrm>
                      <a:off x="0" y="0"/>
                      <a:ext cx="631190" cy="25146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2020.12.03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line="400" w:lineRule="exact"/>
        <w:rPr>
          <w:b/>
          <w:sz w:val="21"/>
          <w:szCs w:val="21"/>
          <w:u w:val="single"/>
        </w:rPr>
      </w:pP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689" w:firstLineChars="343"/>
        <w:rPr>
          <w:rFonts w:hint="eastAsia"/>
          <w:b/>
          <w:sz w:val="21"/>
          <w:szCs w:val="21"/>
        </w:rPr>
      </w:pPr>
      <w:r>
        <w:rPr>
          <w:rFonts w:hint="eastAsia" w:ascii="宋体" w:hAnsi="宋体"/>
          <w:b/>
          <w:kern w:val="0"/>
          <w:sz w:val="20"/>
          <w:szCs w:val="20"/>
        </w:rPr>
        <w:drawing>
          <wp:anchor distT="0" distB="0" distL="114300" distR="114300" simplePos="0" relativeHeight="251765760" behindDoc="0" locked="0" layoutInCell="1" allowOverlap="1">
            <wp:simplePos x="0" y="0"/>
            <wp:positionH relativeFrom="column">
              <wp:posOffset>1217930</wp:posOffset>
            </wp:positionH>
            <wp:positionV relativeFrom="paragraph">
              <wp:posOffset>32385</wp:posOffset>
            </wp:positionV>
            <wp:extent cx="454025" cy="321310"/>
            <wp:effectExtent l="0" t="0" r="3175" b="2540"/>
            <wp:wrapSquare wrapText="bothSides"/>
            <wp:docPr id="4"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李林签名"/>
                    <pic:cNvPicPr>
                      <a:picLocks noChangeAspect="1"/>
                    </pic:cNvPicPr>
                  </pic:nvPicPr>
                  <pic:blipFill>
                    <a:blip r:embed="rId6"/>
                    <a:stretch>
                      <a:fillRect/>
                    </a:stretch>
                  </pic:blipFill>
                  <pic:spPr>
                    <a:xfrm>
                      <a:off x="0" y="0"/>
                      <a:ext cx="454025" cy="321310"/>
                    </a:xfrm>
                    <a:prstGeom prst="rect">
                      <a:avLst/>
                    </a:prstGeom>
                    <a:noFill/>
                    <a:ln>
                      <a:noFill/>
                    </a:ln>
                  </pic:spPr>
                </pic:pic>
              </a:graphicData>
            </a:graphic>
          </wp:anchor>
        </w:drawing>
      </w: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8677E"/>
    <w:rsid w:val="04DC2570"/>
    <w:rsid w:val="05AE09D0"/>
    <w:rsid w:val="0E3B0190"/>
    <w:rsid w:val="0E5F2499"/>
    <w:rsid w:val="0E8F0944"/>
    <w:rsid w:val="0FF74D17"/>
    <w:rsid w:val="102B32BF"/>
    <w:rsid w:val="106E6F7D"/>
    <w:rsid w:val="120F07E0"/>
    <w:rsid w:val="14BC3F34"/>
    <w:rsid w:val="17A066BC"/>
    <w:rsid w:val="18D834BA"/>
    <w:rsid w:val="1B4C4B6F"/>
    <w:rsid w:val="227023AB"/>
    <w:rsid w:val="22990F7C"/>
    <w:rsid w:val="23FE2504"/>
    <w:rsid w:val="24B55CE8"/>
    <w:rsid w:val="26EE778C"/>
    <w:rsid w:val="2C64781F"/>
    <w:rsid w:val="2CB016C3"/>
    <w:rsid w:val="2F6A3ABB"/>
    <w:rsid w:val="3140182F"/>
    <w:rsid w:val="333D0A45"/>
    <w:rsid w:val="37662BEC"/>
    <w:rsid w:val="37E77987"/>
    <w:rsid w:val="3CDE6A03"/>
    <w:rsid w:val="3E5123F3"/>
    <w:rsid w:val="3FAB708A"/>
    <w:rsid w:val="3FDF6181"/>
    <w:rsid w:val="40AA4836"/>
    <w:rsid w:val="434D46C8"/>
    <w:rsid w:val="444D5BC1"/>
    <w:rsid w:val="475462C6"/>
    <w:rsid w:val="48EA70C8"/>
    <w:rsid w:val="4F470990"/>
    <w:rsid w:val="55653596"/>
    <w:rsid w:val="59A812D1"/>
    <w:rsid w:val="5F0A5045"/>
    <w:rsid w:val="61C14E02"/>
    <w:rsid w:val="647500FF"/>
    <w:rsid w:val="651A4DC7"/>
    <w:rsid w:val="65C7344F"/>
    <w:rsid w:val="65C9576F"/>
    <w:rsid w:val="66A9554D"/>
    <w:rsid w:val="6C682F0E"/>
    <w:rsid w:val="70837AF7"/>
    <w:rsid w:val="722D0ACC"/>
    <w:rsid w:val="728E1C79"/>
    <w:rsid w:val="73EF4CDA"/>
    <w:rsid w:val="7A152F0F"/>
    <w:rsid w:val="7A3B2C4E"/>
    <w:rsid w:val="7C64128F"/>
    <w:rsid w:val="7D2948B2"/>
    <w:rsid w:val="7EB77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2020-12-03T02:43:29Z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