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天燚仪器制造（成都）有限公司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Q:29.10.07,34.05.00</w:t>
            </w:r>
          </w:p>
          <w:p>
            <w:pPr>
              <w:spacing w:line="240" w:lineRule="exact"/>
              <w:jc w:val="center"/>
              <w:rPr>
                <w:b/>
                <w:color w:val="000000" w:themeColor="text1"/>
                <w:sz w:val="20"/>
                <w:szCs w:val="20"/>
              </w:rPr>
            </w:pPr>
            <w:r>
              <w:rPr>
                <w:b/>
                <w:color w:val="000000" w:themeColor="text1"/>
                <w:sz w:val="20"/>
                <w:szCs w:val="20"/>
              </w:rPr>
              <w:t>E:29.10.07,34.05.00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任学礼</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天燚仪器制造（成都）有限公司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四川省成都市锦江区晨辉西路56号附10-88号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四川省成都市新都区兴城大道1955号创想大厦3-307-308号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610599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18380352586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赵红霞</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李洋</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唐錄森</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Q：微波消解仪、电热消解仪的研发及销售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E：微波消解仪、电热消解仪的研发及销售所涉及场所相关的环境管理活动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Q：29.10.07;34.05.00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研发部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产品研发；产品验收管理；监视和测量设备管理；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营销部</w:t>
            </w:r>
          </w:p>
        </w:tc>
        <w:tc>
          <w:tcPr>
            <w:tcW w:w="6804" w:type="dxa"/>
            <w:vAlign w:val="top"/>
          </w:tcPr>
          <w:p>
            <w:pPr>
              <w:jc w:val="lef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b/>
                <w:color w:val="000000" w:themeColor="text1"/>
                <w:sz w:val="20"/>
                <w:szCs w:val="20"/>
                <w:highlight w:val="none"/>
              </w:rPr>
              <w:t>产品名称/</w:t>
            </w:r>
          </w:p>
          <w:p>
            <w:pPr>
              <w:rPr>
                <w:b/>
                <w:color w:val="000000" w:themeColor="text1"/>
                <w:sz w:val="20"/>
                <w:szCs w:val="20"/>
                <w:highlight w:val="none"/>
              </w:rPr>
            </w:pPr>
            <w:r>
              <w:rPr>
                <w:rFonts w:hint="eastAsia"/>
                <w:b/>
                <w:color w:val="000000" w:themeColor="text1"/>
                <w:sz w:val="20"/>
                <w:szCs w:val="20"/>
                <w:highlight w:val="none"/>
              </w:rPr>
              <w:t>服务名称</w:t>
            </w:r>
          </w:p>
        </w:tc>
        <w:tc>
          <w:tcPr>
            <w:tcW w:w="2519" w:type="dxa"/>
          </w:tcPr>
          <w:p>
            <w:pPr>
              <w:rPr>
                <w:b/>
                <w:color w:val="000000" w:themeColor="text1"/>
                <w:sz w:val="20"/>
                <w:szCs w:val="20"/>
                <w:highlight w:val="none"/>
              </w:rPr>
            </w:pPr>
            <w:r>
              <w:rPr>
                <w:rFonts w:hint="eastAsia"/>
                <w:b/>
                <w:color w:val="000000" w:themeColor="text1"/>
                <w:sz w:val="20"/>
                <w:szCs w:val="20"/>
                <w:highlight w:val="none"/>
              </w:rPr>
              <w:t>型号/</w:t>
            </w:r>
          </w:p>
          <w:p>
            <w:pPr>
              <w:rPr>
                <w:b/>
                <w:color w:val="000000" w:themeColor="text1"/>
                <w:sz w:val="20"/>
                <w:szCs w:val="20"/>
                <w:highlight w:val="none"/>
              </w:rPr>
            </w:pPr>
            <w:r>
              <w:rPr>
                <w:rFonts w:hint="eastAsia"/>
                <w:b/>
                <w:color w:val="000000" w:themeColor="text1"/>
                <w:sz w:val="20"/>
                <w:szCs w:val="20"/>
                <w:highlight w:val="none"/>
              </w:rPr>
              <w:t>服务类型</w:t>
            </w:r>
          </w:p>
        </w:tc>
        <w:tc>
          <w:tcPr>
            <w:tcW w:w="1843" w:type="dxa"/>
          </w:tcPr>
          <w:p>
            <w:pPr>
              <w:rPr>
                <w:b/>
                <w:color w:val="000000" w:themeColor="text1"/>
                <w:sz w:val="20"/>
                <w:szCs w:val="20"/>
                <w:highlight w:val="none"/>
              </w:rPr>
            </w:pPr>
            <w:r>
              <w:rPr>
                <w:rFonts w:hint="eastAsia"/>
                <w:b/>
                <w:color w:val="000000" w:themeColor="text1"/>
                <w:sz w:val="20"/>
                <w:szCs w:val="20"/>
                <w:highlight w:val="none"/>
              </w:rPr>
              <w:t>规格</w:t>
            </w:r>
          </w:p>
        </w:tc>
        <w:tc>
          <w:tcPr>
            <w:tcW w:w="3543" w:type="dxa"/>
          </w:tcPr>
          <w:p>
            <w:pPr>
              <w:rPr>
                <w:b/>
                <w:color w:val="000000" w:themeColor="text1"/>
                <w:sz w:val="20"/>
                <w:szCs w:val="20"/>
                <w:highlight w:val="none"/>
              </w:rPr>
            </w:pPr>
            <w:r>
              <w:rPr>
                <w:rFonts w:hint="eastAsia"/>
                <w:b/>
                <w:color w:val="000000" w:themeColor="text1"/>
                <w:sz w:val="20"/>
                <w:szCs w:val="20"/>
                <w:highlight w:val="none"/>
              </w:rPr>
              <w:t>执行标准</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bookmarkStart w:id="22" w:name="_GoBack" w:colFirst="0" w:colLast="3"/>
            <w:bookmarkEnd w:id="22"/>
            <w:r>
              <w:rPr>
                <w:rFonts w:hint="eastAsia" w:ascii="宋体" w:hAnsi="宋体"/>
                <w:szCs w:val="21"/>
                <w:highlight w:val="none"/>
              </w:rPr>
              <w:t>微波消解仪、电热消解仪的研发及销售</w:t>
            </w:r>
          </w:p>
        </w:tc>
        <w:tc>
          <w:tcPr>
            <w:tcW w:w="2519" w:type="dxa"/>
          </w:tcPr>
          <w:p>
            <w:pPr>
              <w:rPr>
                <w:b/>
                <w:color w:val="000000" w:themeColor="text1"/>
                <w:sz w:val="20"/>
                <w:szCs w:val="20"/>
                <w:highlight w:val="none"/>
              </w:rPr>
            </w:pPr>
          </w:p>
        </w:tc>
        <w:tc>
          <w:tcPr>
            <w:tcW w:w="1843" w:type="dxa"/>
          </w:tcPr>
          <w:p>
            <w:pPr>
              <w:rPr>
                <w:b/>
                <w:color w:val="000000" w:themeColor="text1"/>
                <w:sz w:val="20"/>
                <w:szCs w:val="20"/>
                <w:highlight w:val="none"/>
              </w:rPr>
            </w:pPr>
          </w:p>
        </w:tc>
        <w:tc>
          <w:tcPr>
            <w:tcW w:w="3543" w:type="dxa"/>
          </w:tcPr>
          <w:p>
            <w:pPr>
              <w:rPr>
                <w:b/>
                <w:color w:val="000000" w:themeColor="text1"/>
                <w:sz w:val="20"/>
                <w:szCs w:val="20"/>
                <w:highlight w:val="none"/>
              </w:rPr>
            </w:pPr>
            <w:r>
              <w:rPr>
                <w:rFonts w:hint="eastAsia" w:ascii="宋体" w:hAnsi="宋体" w:eastAsia="宋体" w:cs="宋体"/>
                <w:color w:val="auto"/>
                <w:szCs w:val="21"/>
                <w:highlight w:val="none"/>
                <w:lang w:val="en-US" w:eastAsia="zh-CN"/>
              </w:rPr>
              <w:t>计算机软件开发规范GB8566-88、计算机软件单元测试GB/T 15532-95、计算机软件测试编制指南GB/ T9386-88、</w:t>
            </w:r>
            <w:r>
              <w:rPr>
                <w:rFonts w:hint="eastAsia" w:ascii="宋体" w:hAnsi="宋体" w:eastAsia="宋体" w:cs="宋体"/>
                <w:color w:val="auto"/>
                <w:szCs w:val="21"/>
                <w:highlight w:val="none"/>
              </w:rPr>
              <w:t>《微波消解装置》 GB/T26814-2011</w:t>
            </w:r>
            <w:r>
              <w:rPr>
                <w:rFonts w:hint="eastAsia" w:ascii="宋体" w:hAnsi="宋体" w:eastAsia="宋体" w:cs="宋体"/>
                <w:color w:val="auto"/>
                <w:szCs w:val="21"/>
                <w:highlight w:val="none"/>
                <w:lang w:eastAsia="zh-CN"/>
              </w:rPr>
              <w:t>、</w:t>
            </w:r>
            <w:r>
              <w:rPr>
                <w:rFonts w:hint="eastAsia"/>
                <w:color w:val="auto"/>
                <w:highlight w:val="none"/>
              </w:rPr>
              <w:t>《标准饱和温度压力对照表》</w:t>
            </w:r>
            <w:r>
              <w:rPr>
                <w:color w:val="auto"/>
                <w:highlight w:val="none"/>
              </w:rPr>
              <w:t>GB19000-2001</w:t>
            </w:r>
            <w:r>
              <w:rPr>
                <w:rFonts w:hint="eastAsia" w:ascii="宋体" w:hAnsi="宋体" w:eastAsia="宋体" w:cs="宋体"/>
                <w:color w:val="auto"/>
                <w:szCs w:val="21"/>
                <w:highlight w:val="none"/>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2020年07月25日至2020年12月2日。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default" w:ascii="宋体" w:hAnsi="宋体" w:eastAsia="宋体"/>
                <w:color w:val="000000" w:themeColor="text1"/>
                <w:lang w:val="en-US" w:eastAsia="zh-CN"/>
              </w:rPr>
            </w:pPr>
            <w:r>
              <w:rPr>
                <w:rFonts w:hint="eastAsia" w:ascii="宋体" w:hAnsi="宋体"/>
                <w:color w:val="000000" w:themeColor="text1"/>
                <w:lang w:val="en-US" w:eastAsia="zh-CN"/>
              </w:rPr>
              <w:t>管理方针：</w:t>
            </w:r>
          </w:p>
          <w:p>
            <w:pPr>
              <w:spacing w:line="400" w:lineRule="exact"/>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以稳定品质、完善服务、持续改进、满足顾客需求；</w:t>
            </w:r>
          </w:p>
          <w:p>
            <w:pPr>
              <w:spacing w:line="360" w:lineRule="auto"/>
              <w:ind w:firstLine="420" w:firstLineChars="200"/>
              <w:jc w:val="left"/>
              <w:rPr>
                <w:b/>
                <w:color w:val="000000" w:themeColor="text1"/>
              </w:rPr>
            </w:pPr>
            <w:r>
              <w:rPr>
                <w:rFonts w:hint="eastAsia" w:ascii="Times New Roman" w:hAnsi="Times New Roman" w:cs="Times New Roman"/>
                <w:color w:val="auto"/>
                <w:sz w:val="21"/>
                <w:szCs w:val="21"/>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rFonts w:hint="eastAsia" w:ascii="宋体" w:hAnsi="宋体"/>
                <w:szCs w:val="21"/>
              </w:rPr>
              <w:t>微波消解仪、电热消解仪的研发及销售</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研发过程、销售过程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研发过程、销售过程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sz w:val="21"/>
                <w:szCs w:val="21"/>
              </w:rPr>
            </w:pPr>
            <w:r>
              <w:rPr>
                <w:rFonts w:hint="eastAsia"/>
                <w:lang w:val="en-US" w:eastAsia="zh-CN"/>
              </w:rPr>
              <w:t>7</w:t>
            </w:r>
            <w:r>
              <w:rPr>
                <w:rFonts w:ascii="宋体" w:hAnsi="宋体"/>
                <w:b/>
                <w:sz w:val="21"/>
                <w:szCs w:val="21"/>
              </w:rPr>
              <w:t xml:space="preserve">.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tabs>
                <w:tab w:val="left" w:pos="1220"/>
              </w:tabs>
              <w:bidi w:val="0"/>
              <w:jc w:val="left"/>
              <w:rPr>
                <w:rFonts w:hint="eastAsia"/>
                <w:lang w:val="en-US" w:eastAsia="zh-CN"/>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结合公司的■产品/服务■环境因素，■确定 □未确定法律法规要求的具体条款，</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法律法规的宣传方式：培训、会议、张贴。</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公司质量环境目标为：</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产品研发合格率100%</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客户满意度≥90分</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对固体废弃物100%处理</w:t>
            </w:r>
            <w:r>
              <w:rPr>
                <w:rFonts w:hint="eastAsia" w:ascii="宋体" w:hAnsi="宋体" w:cs="宋体"/>
                <w:color w:val="000000"/>
                <w:kern w:val="0"/>
                <w:szCs w:val="21"/>
                <w:lang w:eastAsia="zh-CN"/>
              </w:rPr>
              <w:t>；</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火灾事故发生率为0</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val="en-US" w:eastAsia="zh-CN"/>
              </w:rPr>
              <w:t>质量、</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w:t>
            </w:r>
            <w:r>
              <w:rPr>
                <w:rFonts w:hint="eastAsia" w:ascii="宋体" w:hAnsi="宋体"/>
                <w:szCs w:val="21"/>
              </w:rPr>
              <w:t>微波消解仪、电热消解仪的研发及销售</w:t>
            </w:r>
            <w:r>
              <w:rPr>
                <w:rFonts w:hint="eastAsia" w:ascii="宋体" w:hAnsi="宋体"/>
                <w:bCs/>
                <w:iCs/>
                <w:szCs w:val="22"/>
              </w:rPr>
              <w:t>相关</w:t>
            </w:r>
            <w:r>
              <w:rPr>
                <w:rFonts w:hint="eastAsia" w:ascii="宋体" w:hAnsi="宋体"/>
                <w:bCs/>
                <w:iCs/>
                <w:szCs w:val="22"/>
                <w:lang w:val="en-US" w:eastAsia="zh-CN"/>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s="宋体"/>
                <w:szCs w:val="21"/>
              </w:rPr>
              <w:t>办公面积</w:t>
            </w:r>
            <w:r>
              <w:rPr>
                <w:rFonts w:hint="eastAsia" w:ascii="宋体" w:hAnsi="宋体" w:cs="宋体"/>
                <w:szCs w:val="21"/>
                <w:lang w:val="en-US" w:eastAsia="zh-CN"/>
              </w:rPr>
              <w:t>230</w:t>
            </w:r>
            <w:r>
              <w:rPr>
                <w:rFonts w:hint="eastAsia" w:ascii="宋体" w:hAnsi="宋体" w:cs="宋体"/>
                <w:szCs w:val="21"/>
              </w:rPr>
              <w:t>平方米左右，主要设备包括：</w:t>
            </w:r>
            <w:r>
              <w:rPr>
                <w:rFonts w:hint="eastAsia" w:ascii="宋体" w:hAnsi="宋体" w:cs="宋体"/>
                <w:szCs w:val="21"/>
                <w:lang w:val="en-US" w:eastAsia="zh-CN"/>
              </w:rPr>
              <w:t>笔记本电脑、台式电脑、打印机、电话、solideworks、CAD等</w:t>
            </w:r>
            <w:r>
              <w:rPr>
                <w:rFonts w:hint="eastAsia" w:ascii="宋体" w:hAnsi="宋体" w:cs="宋体"/>
                <w:szCs w:val="21"/>
              </w:rPr>
              <w:t>，可以满足</w:t>
            </w:r>
            <w:r>
              <w:rPr>
                <w:rFonts w:hint="eastAsia" w:ascii="宋体" w:hAnsi="宋体"/>
                <w:szCs w:val="21"/>
              </w:rPr>
              <w:t>微波消解仪、电热消解仪的研发及销售</w:t>
            </w:r>
            <w:r>
              <w:rPr>
                <w:rFonts w:hint="eastAsia" w:ascii="宋体" w:hAnsi="宋体" w:cs="宋体"/>
                <w:szCs w:val="21"/>
                <w:lang w:val="en-US" w:eastAsia="zh-CN"/>
              </w:rPr>
              <w:t>的</w:t>
            </w:r>
            <w:r>
              <w:rPr>
                <w:rFonts w:hint="eastAsia" w:ascii="宋体" w:hAnsi="宋体" w:cs="宋体"/>
                <w:szCs w:val="21"/>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hint="default" w:ascii="宋体" w:hAnsi="宋体" w:eastAsia="宋体"/>
                <w:b/>
                <w:color w:val="000000" w:themeColor="text1"/>
                <w:sz w:val="20"/>
                <w:szCs w:val="20"/>
                <w:lang w:val="en-US" w:eastAsia="zh-CN"/>
              </w:rPr>
            </w:pPr>
            <w:r>
              <w:rPr>
                <w:rFonts w:hint="eastAsia" w:ascii="宋体" w:hAnsi="宋体" w:cs="宋体"/>
                <w:szCs w:val="21"/>
                <w:lang w:val="en-US" w:eastAsia="zh-CN"/>
              </w:rPr>
              <w:t>公司范围为</w:t>
            </w:r>
            <w:r>
              <w:rPr>
                <w:rFonts w:hint="eastAsia" w:ascii="宋体" w:hAnsi="宋体" w:cs="宋体"/>
                <w:szCs w:val="21"/>
              </w:rPr>
              <w:t>微波消解仪、电热消解仪的研发及销售</w:t>
            </w:r>
            <w:r>
              <w:rPr>
                <w:rFonts w:hint="eastAsia" w:ascii="宋体" w:hAnsi="宋体" w:cs="宋体"/>
                <w:szCs w:val="21"/>
                <w:lang w:eastAsia="zh-CN"/>
              </w:rPr>
              <w:t>，</w:t>
            </w:r>
            <w:r>
              <w:rPr>
                <w:rFonts w:hint="eastAsia" w:ascii="宋体" w:hAnsi="宋体" w:cs="宋体"/>
                <w:szCs w:val="21"/>
                <w:lang w:val="en-US" w:eastAsia="zh-CN"/>
              </w:rPr>
              <w:t>监视和测量设备由外包方进行控制，公司进行跟踪。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sz w:val="20"/>
                <w:szCs w:val="20"/>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w:t>
            </w:r>
            <w:r>
              <w:rPr>
                <w:rFonts w:hint="eastAsia" w:ascii="宋体" w:hAnsi="宋体" w:cs="宋体"/>
                <w:color w:val="000000"/>
                <w:szCs w:val="21"/>
                <w:lang w:val="en-US" w:eastAsia="zh-CN"/>
              </w:rPr>
              <w:t>和质量管理</w:t>
            </w:r>
            <w:r>
              <w:rPr>
                <w:rFonts w:hint="eastAsia" w:ascii="宋体" w:hAnsi="宋体" w:cs="宋体"/>
                <w:color w:val="000000"/>
                <w:szCs w:val="21"/>
              </w:rPr>
              <w:t>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val="en-US"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w:t>
            </w:r>
            <w:r>
              <w:rPr>
                <w:rFonts w:hint="eastAsia" w:asciiTheme="minorEastAsia" w:hAnsiTheme="minorEastAsia" w:eastAsiaTheme="minorEastAsia"/>
                <w:bCs/>
                <w:iCs/>
                <w:lang w:val="en-US" w:eastAsia="zh-CN"/>
              </w:rPr>
              <w:t>设计开发</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t>OHSMS</w:t>
            </w:r>
            <w:r>
              <w:rPr>
                <w:rFonts w:hint="eastAsia"/>
              </w:rPr>
              <w:t>组织对不可接受风险实施控制的结果</w:t>
            </w:r>
          </w:p>
          <w:p>
            <w:pPr>
              <w:pStyle w:val="2"/>
              <w:numPr>
                <w:ilvl w:val="0"/>
                <w:numId w:val="0"/>
              </w:num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w:t>
            </w:r>
            <w:r>
              <w:rPr>
                <w:rFonts w:hint="eastAsia"/>
                <w:b/>
                <w:sz w:val="20"/>
                <w:szCs w:val="20"/>
                <w:lang w:val="en-US" w:eastAsia="zh-CN"/>
              </w:rPr>
              <w:t>1</w:t>
            </w:r>
            <w:r>
              <w:rPr>
                <w:rFonts w:hint="eastAsia"/>
                <w:b/>
                <w:sz w:val="20"/>
                <w:szCs w:val="20"/>
              </w:rPr>
              <w:t xml:space="preserve">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315" w:firstLineChars="1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w:t>
            </w:r>
            <w:r>
              <w:rPr>
                <w:rFonts w:hint="eastAsia" w:ascii="宋体" w:hAnsi="宋体" w:cs="宋体"/>
                <w:szCs w:val="21"/>
                <w:highlight w:val="none"/>
              </w:rPr>
              <w:t>到沟通和监视评价，通过数据的汇总统计、描述性统计等方法对目标进行了测量，总体已达到或超过了规定的目标值。通过20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2020年10</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w:t>
            </w:r>
            <w:r>
              <w:rPr>
                <w:rFonts w:hint="eastAsia" w:ascii="宋体" w:hAnsi="宋体" w:cs="宋体"/>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rFonts w:hint="default"/>
                <w:b/>
                <w:sz w:val="20"/>
                <w:szCs w:val="20"/>
                <w:lang w:val="en-US"/>
              </w:rPr>
            </w:pPr>
            <w:r>
              <w:rPr>
                <w:rFonts w:hint="eastAsia" w:ascii="宋体" w:hAnsi="宋体" w:cs="宋体"/>
                <w:szCs w:val="21"/>
              </w:rPr>
              <w:t>建立有《内部审核控制程序》，规定了内审频次一年一次，内审时间：20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10日</w:t>
            </w:r>
            <w:r>
              <w:rPr>
                <w:rFonts w:hint="eastAsia" w:ascii="宋体" w:hAnsi="宋体" w:cs="宋体"/>
                <w:szCs w:val="21"/>
              </w:rPr>
              <w:t>，拟定了审核实施表，明确了内审范围，内审人员经培训合格上岗，能力满足要求，未出现审核本部门情况，内审不符合项2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szCs w:val="21"/>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rPr>
            </w:pPr>
            <w:r>
              <w:rPr>
                <w:rFonts w:hint="eastAsia"/>
              </w:rPr>
              <w:t>一阶段提出问题的整改情况?</w:t>
            </w:r>
          </w:p>
          <w:p>
            <w:pPr>
              <w:pStyle w:val="2"/>
              <w:numPr>
                <w:ilvl w:val="0"/>
                <w:numId w:val="0"/>
              </w:numPr>
              <w:rPr>
                <w:rFonts w:hint="default" w:eastAsia="宋体"/>
                <w:lang w:val="en-US" w:eastAsia="zh-CN"/>
              </w:rPr>
            </w:pPr>
            <w:r>
              <w:rPr>
                <w:rFonts w:hint="eastAsia"/>
                <w:lang w:val="en-US" w:eastAsia="zh-CN"/>
              </w:rPr>
              <w:t>经验证，一阶段问题未出现类视情况。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color w:val="000000"/>
                <w:szCs w:val="21"/>
              </w:rPr>
            </w:pPr>
            <w:r>
              <w:rPr>
                <w:rFonts w:hint="eastAsia" w:ascii="宋体" w:hAnsi="宋体"/>
                <w:szCs w:val="21"/>
              </w:rPr>
              <w:t>Q：微波消解仪、电热消解仪的研发及销售</w:t>
            </w:r>
          </w:p>
          <w:p>
            <w:pPr>
              <w:spacing w:line="320" w:lineRule="exact"/>
              <w:rPr>
                <w:rFonts w:ascii="宋体" w:hAnsi="宋体"/>
                <w:b/>
                <w:color w:val="000000" w:themeColor="text1"/>
                <w:u w:val="single"/>
                <w:lang w:val="en-GB"/>
              </w:rPr>
            </w:pPr>
            <w:r>
              <w:rPr>
                <w:rFonts w:hint="eastAsia" w:ascii="宋体" w:hAnsi="宋体"/>
                <w:szCs w:val="21"/>
              </w:rPr>
              <w:t xml:space="preserve">E：微波消解仪、电热消解仪的研发及销售所涉及场所相关的环境管理活动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rPr>
        <w:drawing>
          <wp:anchor distT="0" distB="0" distL="114300" distR="114300" simplePos="0" relativeHeight="251676672" behindDoc="0" locked="0" layoutInCell="1" allowOverlap="1">
            <wp:simplePos x="0" y="0"/>
            <wp:positionH relativeFrom="column">
              <wp:posOffset>1716405</wp:posOffset>
            </wp:positionH>
            <wp:positionV relativeFrom="paragraph">
              <wp:posOffset>358140</wp:posOffset>
            </wp:positionV>
            <wp:extent cx="452755" cy="320040"/>
            <wp:effectExtent l="0" t="0" r="4445" b="3175"/>
            <wp:wrapSquare wrapText="bothSides"/>
            <wp:docPr id="4"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李林签名"/>
                    <pic:cNvPicPr>
                      <a:picLocks noChangeAspect="1"/>
                    </pic:cNvPicPr>
                  </pic:nvPicPr>
                  <pic:blipFill>
                    <a:blip r:embed="rId6"/>
                    <a:stretch>
                      <a:fillRect/>
                    </a:stretch>
                  </pic:blipFill>
                  <pic:spPr>
                    <a:xfrm>
                      <a:off x="0" y="0"/>
                      <a:ext cx="452755" cy="3200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675648" behindDoc="0" locked="0" layoutInCell="1" allowOverlap="1">
            <wp:simplePos x="0" y="0"/>
            <wp:positionH relativeFrom="column">
              <wp:posOffset>1646555</wp:posOffset>
            </wp:positionH>
            <wp:positionV relativeFrom="paragraph">
              <wp:posOffset>26670</wp:posOffset>
            </wp:positionV>
            <wp:extent cx="850265" cy="259080"/>
            <wp:effectExtent l="0" t="0" r="6985" b="6985"/>
            <wp:wrapSquare wrapText="bothSides"/>
            <wp:docPr id="3" name="图片 3" descr="任学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学礼"/>
                    <pic:cNvPicPr>
                      <a:picLocks noChangeAspect="1"/>
                    </pic:cNvPicPr>
                  </pic:nvPicPr>
                  <pic:blipFill>
                    <a:blip r:embed="rId7"/>
                    <a:stretch>
                      <a:fillRect/>
                    </a:stretch>
                  </pic:blipFill>
                  <pic:spPr>
                    <a:xfrm>
                      <a:off x="0" y="0"/>
                      <a:ext cx="850265" cy="259080"/>
                    </a:xfrm>
                    <a:prstGeom prst="rect">
                      <a:avLst/>
                    </a:prstGeom>
                  </pic:spPr>
                </pic:pic>
              </a:graphicData>
            </a:graphic>
          </wp:anchor>
        </w:drawing>
      </w:r>
      <w:r>
        <w:rPr>
          <w:rFonts w:hint="eastAsia"/>
          <w:b/>
          <w:color w:val="000000" w:themeColor="text1"/>
          <w:sz w:val="26"/>
          <w:szCs w:val="26"/>
        </w:rPr>
        <w:t>审核组组员（签名）：</w:t>
      </w:r>
    </w:p>
    <w:p>
      <w:pPr>
        <w:snapToGrid w:val="0"/>
        <w:spacing w:after="156" w:afterLines="50" w:line="360" w:lineRule="auto"/>
        <w:ind w:left="1" w:leftChars="-32" w:hanging="68" w:hangingChars="26"/>
        <w:jc w:val="right"/>
        <w:rPr>
          <w:rFonts w:hint="default" w:ascii="Times New Roman" w:hAnsi="Times New Roman" w:cs="Times New Roman"/>
          <w:b/>
          <w:color w:val="000000" w:themeColor="text1"/>
          <w:sz w:val="26"/>
          <w:szCs w:val="26"/>
          <w:lang w:val="en-US"/>
        </w:rPr>
      </w:pPr>
      <w:r>
        <w:rPr>
          <w:rFonts w:hint="eastAsia" w:ascii="Times New Roman" w:hAnsi="Times New Roman" w:cs="Times New Roman"/>
          <w:b/>
          <w:color w:val="000000" w:themeColor="text1"/>
          <w:sz w:val="26"/>
          <w:szCs w:val="26"/>
        </w:rPr>
        <w:t>日期</w:t>
      </w:r>
      <w:r>
        <w:rPr>
          <w:rFonts w:hint="eastAsia" w:ascii="Times New Roman" w:hAnsi="Times New Roman" w:cs="Times New Roman"/>
          <w:b/>
          <w:color w:val="000000" w:themeColor="text1"/>
          <w:sz w:val="26"/>
          <w:szCs w:val="26"/>
          <w:lang w:eastAsia="zh-CN"/>
        </w:rPr>
        <w:t>：</w:t>
      </w:r>
      <w:r>
        <w:rPr>
          <w:rFonts w:hint="eastAsia" w:cs="Times New Roman"/>
          <w:b/>
          <w:color w:val="000000" w:themeColor="text1"/>
          <w:sz w:val="26"/>
          <w:szCs w:val="26"/>
          <w:lang w:val="en-US" w:eastAsia="zh-CN"/>
        </w:rPr>
        <w:t>2020年12月02日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rPr>
        <w:drawing>
          <wp:anchor distT="0" distB="0" distL="114300" distR="114300" simplePos="0" relativeHeight="251696128" behindDoc="0" locked="0" layoutInCell="1" allowOverlap="1">
            <wp:simplePos x="0" y="0"/>
            <wp:positionH relativeFrom="column">
              <wp:posOffset>699770</wp:posOffset>
            </wp:positionH>
            <wp:positionV relativeFrom="paragraph">
              <wp:posOffset>140335</wp:posOffset>
            </wp:positionV>
            <wp:extent cx="452755" cy="320040"/>
            <wp:effectExtent l="0" t="0" r="4445" b="3175"/>
            <wp:wrapSquare wrapText="bothSides"/>
            <wp:docPr id="5"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李林签名"/>
                    <pic:cNvPicPr>
                      <a:picLocks noChangeAspect="1"/>
                    </pic:cNvPicPr>
                  </pic:nvPicPr>
                  <pic:blipFill>
                    <a:blip r:embed="rId6"/>
                    <a:stretch>
                      <a:fillRect/>
                    </a:stretch>
                  </pic:blipFill>
                  <pic:spPr>
                    <a:xfrm>
                      <a:off x="0" y="0"/>
                      <a:ext cx="452755" cy="320040"/>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6"/>
        </w:numPr>
        <w:snapToGrid w:val="0"/>
        <w:spacing w:line="360" w:lineRule="auto"/>
        <w:ind w:left="202" w:leftChars="-405" w:hanging="1052" w:hangingChars="403"/>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pStyle w:val="2"/>
        <w:rPr>
          <w:rFonts w:hint="eastAsia"/>
          <w:b/>
          <w:color w:val="000000" w:themeColor="text1"/>
          <w:szCs w:val="21"/>
        </w:rPr>
      </w:pPr>
    </w:p>
    <w:p>
      <w:pPr>
        <w:pStyle w:val="3"/>
      </w:pP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CE44F"/>
    <w:multiLevelType w:val="singleLevel"/>
    <w:tmpl w:val="E17CE44F"/>
    <w:lvl w:ilvl="0" w:tentative="0">
      <w:start w:val="8"/>
      <w:numFmt w:val="decimal"/>
      <w:suff w:val="space"/>
      <w:lvlText w:val="%1."/>
      <w:lvlJc w:val="left"/>
    </w:lvl>
  </w:abstractNum>
  <w:abstractNum w:abstractNumId="1">
    <w:nsid w:val="0C52291D"/>
    <w:multiLevelType w:val="singleLevel"/>
    <w:tmpl w:val="0C52291D"/>
    <w:lvl w:ilvl="0" w:tentative="0">
      <w:start w:val="3"/>
      <w:numFmt w:val="decimal"/>
      <w:suff w:val="space"/>
      <w:lvlText w:val="%1."/>
      <w:lvlJc w:val="left"/>
    </w:lvl>
  </w:abstractNum>
  <w:abstractNum w:abstractNumId="2">
    <w:nsid w:val="1F086756"/>
    <w:multiLevelType w:val="singleLevel"/>
    <w:tmpl w:val="1F086756"/>
    <w:lvl w:ilvl="0" w:tentative="0">
      <w:start w:val="17"/>
      <w:numFmt w:val="chineseCounting"/>
      <w:suff w:val="nothing"/>
      <w:lvlText w:val="%1、"/>
      <w:lvlJc w:val="left"/>
      <w:rPr>
        <w:rFonts w:hint="eastAsia"/>
      </w:r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95EB6"/>
    <w:rsid w:val="03404818"/>
    <w:rsid w:val="052B286D"/>
    <w:rsid w:val="0D095446"/>
    <w:rsid w:val="0F625081"/>
    <w:rsid w:val="0FDE2BA3"/>
    <w:rsid w:val="103D0397"/>
    <w:rsid w:val="10F0685C"/>
    <w:rsid w:val="11BE7EE2"/>
    <w:rsid w:val="11DC5184"/>
    <w:rsid w:val="177C062F"/>
    <w:rsid w:val="18B833C7"/>
    <w:rsid w:val="1BE82207"/>
    <w:rsid w:val="1C827A7A"/>
    <w:rsid w:val="1E6E3193"/>
    <w:rsid w:val="1E761E0E"/>
    <w:rsid w:val="221B3EB2"/>
    <w:rsid w:val="2D4A413E"/>
    <w:rsid w:val="31F372D9"/>
    <w:rsid w:val="37B61E22"/>
    <w:rsid w:val="3AE97148"/>
    <w:rsid w:val="3DC539DC"/>
    <w:rsid w:val="4197222A"/>
    <w:rsid w:val="47581BF5"/>
    <w:rsid w:val="48C61172"/>
    <w:rsid w:val="4AA658AC"/>
    <w:rsid w:val="4B9E1AD5"/>
    <w:rsid w:val="4EAD4D02"/>
    <w:rsid w:val="4EDA2271"/>
    <w:rsid w:val="4FA35294"/>
    <w:rsid w:val="52E96E35"/>
    <w:rsid w:val="53123956"/>
    <w:rsid w:val="59E1223F"/>
    <w:rsid w:val="5E1B4BE7"/>
    <w:rsid w:val="61744364"/>
    <w:rsid w:val="622B2060"/>
    <w:rsid w:val="690209CE"/>
    <w:rsid w:val="6AB60BAD"/>
    <w:rsid w:val="6B8A4FAB"/>
    <w:rsid w:val="6C40680C"/>
    <w:rsid w:val="6C5D21FB"/>
    <w:rsid w:val="6E882E00"/>
    <w:rsid w:val="72B77756"/>
    <w:rsid w:val="756C59B0"/>
    <w:rsid w:val="761024BB"/>
    <w:rsid w:val="788D3064"/>
    <w:rsid w:val="7A2F3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2020-12-02T02:37:31Z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