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r>
        <w:rPr>
          <w:szCs w:val="44"/>
          <w:u w:val="single"/>
        </w:rPr>
        <w:t xml:space="preserve"> </w:t>
      </w:r>
      <w:bookmarkStart w:id="0" w:name="合同编号"/>
      <w:r>
        <w:rPr>
          <w:rFonts w:hint="eastAsia"/>
          <w:szCs w:val="44"/>
          <w:u w:val="single"/>
        </w:rPr>
        <w:t>0658-2020-Q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襄阳天海汽车部件有限公司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Xiangyang Tianhai Auto Parts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襄阳市高新区富康大道风和园</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441000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Fenghe Garden, Fukang Avenue, Xiangyang high-tech zone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襄阳市高新区二汽基地东风商业园</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441000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Dongfeng Commercial Park, Erqi base, Xiangyang high-tech zone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91420600790568118C</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0710-3328292</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王君</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赵磊</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w:t>
      </w:r>
      <w:r>
        <w:rPr>
          <w:rFonts w:hint="eastAsia"/>
          <w:b/>
          <w:color w:val="000000" w:themeColor="text1"/>
          <w:sz w:val="22"/>
          <w:szCs w:val="22"/>
        </w:rPr>
        <w:t>汽车电子产品（高低压线束）的生产和销售（许可范围内除外）</w:t>
      </w:r>
      <w:bookmarkEnd w:id="15"/>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QMS（英文：）：Manufacture and sale of automotive electronics (high and low voltage wiring harnesses)(except as permitted)</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2020.12.11</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C6432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3</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2020-12-11T04:12:20Z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