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襄阳天海汽车部件有限公司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22.03.01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刘艳铃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汽车电子产品（高低压线束）的生产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流程：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断线－－A端压接－拉力测试－超声波－拉力测试－装端套1－布线－－剪线－切波纹管－－B端压接－拉力测试－装端套2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－测试－装辅件</w:t>
            </w:r>
          </w:p>
          <w:p>
            <w:pPr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关键过程：端压接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1.生产车间各工序(工位)均有正在生产的作业指导书；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2.作业指导书主要包括：工序号、工序名称、版本号、作业要求、作业质量管控等，均放置于可视范围内或张贴在墙上，便于查阅对照。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3.生产车间的生产设备工作正常，状态良好，无异常现象，符合产品的生产的条件及要求。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生产车间已按维护的要求对生产设备进行了规定的维护及检修。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GB/T1804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一般公差 线性尺寸的未注公差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GB/T11335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未注公差角度的极限偏差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GB/T 37133-2018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电动汽车用高压大电流线束和连接器技术要求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国家市场监督管理总局.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2019-07-01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现行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QC/T 1067.1-2017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汽车电线束和电气设备用连接器 第1部分：定义、试验方法和一般性能要求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工业和信息化部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2017-07-01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现行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QC/T 1067.2-2017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汽车电线束和电气设备用连接器 第2部分：插头端子的型式和尺寸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工业和信息化部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2017-07-01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现行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QC/T 1067.3-2017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汽车电线束和电气设备用连接器 第3部分：电线接头的型式、尺寸和特殊要求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工业和信息化部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2017-07-01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现行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QC/T 29106-2014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汽车电线束技术条件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工业和信息化部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2014-10-01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现行</w:t>
            </w:r>
          </w:p>
          <w:p>
            <w:r>
              <w:rPr>
                <w:rFonts w:hint="eastAsia"/>
              </w:rPr>
              <w:t xml:space="preserve"> QC/T 417.2-2001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车用电线束插接器 第2部分 试验方法和一般性能要求(摩托车部分)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中国机械工业联合会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2001-12-01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现行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sz w:val="18"/>
          <w:szCs w:val="18"/>
        </w:rPr>
        <w:t>刘艳铃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2020.12.6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李京田 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2020.12.6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A2025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2020-12-25T03:15:47Z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