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17" w:firstLineChars="49"/>
        <w:jc w:val="right"/>
        <w:rPr>
          <w:color w:val="000000"/>
        </w:rPr>
      </w:pPr>
      <w:r>
        <w:rPr>
          <w:rFonts w:hint="default" w:ascii="Times New Roman" w:hAnsi="Times New Roman" w:eastAsia="楷体" w:cs="Times New Roman"/>
          <w:b w:val="0"/>
          <w:bCs w:val="0"/>
          <w:color w:val="000000"/>
          <w:sz w:val="24"/>
          <w:szCs w:val="24"/>
        </w:rPr>
        <w:t>合同编号：</w:t>
      </w:r>
      <w:bookmarkStart w:id="0" w:name="合同编号"/>
      <w:r>
        <w:rPr>
          <w:b w:val="0"/>
          <w:bCs w:val="0"/>
          <w:sz w:val="21"/>
          <w:szCs w:val="21"/>
        </w:rPr>
        <w:t>0353-2020-EO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tabs>
          <w:tab w:val="left" w:pos="5241"/>
        </w:tabs>
        <w:snapToGrid w:val="0"/>
        <w:spacing w:afterLines="30"/>
        <w:jc w:val="left"/>
        <w:rPr>
          <w:rFonts w:hint="eastAsia" w:ascii="楷体" w:hAnsi="楷体" w:eastAsia="楷体"/>
          <w:b/>
          <w:color w:val="000000" w:themeColor="text1"/>
          <w:sz w:val="52"/>
          <w:szCs w:val="52"/>
          <w:lang w:eastAsia="zh-CN"/>
        </w:rPr>
      </w:pPr>
      <w:r>
        <w:rPr>
          <w:rFonts w:hint="eastAsia" w:ascii="楷体" w:hAnsi="楷体" w:eastAsia="楷体"/>
          <w:b/>
          <w:color w:val="000000" w:themeColor="text1"/>
          <w:sz w:val="52"/>
          <w:szCs w:val="52"/>
          <w:lang w:eastAsia="zh-CN"/>
        </w:rPr>
        <w:tab/>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hint="eastAsia" w:ascii="楷体" w:hAnsi="楷体" w:eastAsia="楷体"/>
          <w:b/>
          <w:color w:val="000000" w:themeColor="text1"/>
          <w:sz w:val="36"/>
          <w:szCs w:val="36"/>
          <w:lang w:eastAsia="zh-CN"/>
        </w:rPr>
      </w:pPr>
      <w:r>
        <w:rPr>
          <w:rFonts w:hint="eastAsia" w:ascii="楷体" w:hAnsi="楷体" w:eastAsia="楷体"/>
          <w:b/>
          <w:color w:val="000000" w:themeColor="text1"/>
          <w:sz w:val="36"/>
          <w:szCs w:val="36"/>
          <w:lang w:eastAsia="zh-CN"/>
        </w:rPr>
        <w:t>（</w:t>
      </w:r>
      <w:r>
        <w:rPr>
          <w:rFonts w:hint="eastAsia" w:ascii="楷体" w:hAnsi="楷体" w:eastAsia="楷体"/>
          <w:b/>
          <w:color w:val="000000" w:themeColor="text1"/>
          <w:sz w:val="36"/>
          <w:szCs w:val="36"/>
          <w:lang w:val="en-US" w:eastAsia="zh-CN"/>
        </w:rPr>
        <w:t>补充</w:t>
      </w:r>
      <w:r>
        <w:rPr>
          <w:rFonts w:hint="eastAsia" w:ascii="楷体" w:hAnsi="楷体" w:eastAsia="楷体"/>
          <w:b/>
          <w:color w:val="000000" w:themeColor="text1"/>
          <w:sz w:val="36"/>
          <w:szCs w:val="36"/>
          <w:lang w:eastAsia="zh-CN"/>
        </w:rPr>
        <w:t>）</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宋体" w:hAnsi="宋体" w:eastAsia="楷体"/>
          <w:b/>
          <w:bCs/>
          <w:sz w:val="32"/>
          <w:szCs w:val="32"/>
          <w:lang w:eastAsia="zh-CN"/>
        </w:rPr>
        <w:t>任丘市鑫瑞铁路工程材料有限公司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077"/>
        <w:gridCol w:w="1225"/>
        <w:gridCol w:w="1527"/>
        <w:gridCol w:w="623"/>
        <w:gridCol w:w="93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91"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934"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216" w:type="dxa"/>
            <w:gridSpan w:val="3"/>
            <w:vAlign w:val="center"/>
          </w:tcPr>
          <w:p>
            <w:pPr>
              <w:rPr>
                <w:b/>
                <w:color w:val="000000" w:themeColor="text1"/>
                <w:sz w:val="20"/>
                <w:szCs w:val="20"/>
              </w:rPr>
            </w:pPr>
            <w:r>
              <w:rPr>
                <w:rFonts w:hint="eastAsia"/>
                <w:b/>
                <w:color w:val="000000" w:themeColor="text1"/>
                <w:sz w:val="20"/>
                <w:szCs w:val="20"/>
              </w:rPr>
              <w:t>010-51095332</w:t>
            </w:r>
          </w:p>
        </w:tc>
        <w:tc>
          <w:tcPr>
            <w:tcW w:w="1225"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623" w:type="dxa"/>
            <w:vAlign w:val="center"/>
          </w:tcPr>
          <w:p>
            <w:pPr>
              <w:rPr>
                <w:b/>
                <w:color w:val="000000" w:themeColor="text1"/>
                <w:sz w:val="20"/>
                <w:szCs w:val="20"/>
              </w:rPr>
            </w:pPr>
            <w:r>
              <w:rPr>
                <w:rFonts w:hint="eastAsia"/>
                <w:b/>
                <w:color w:val="000000" w:themeColor="text1"/>
                <w:sz w:val="20"/>
                <w:szCs w:val="20"/>
              </w:rPr>
              <w:t>邮箱</w:t>
            </w:r>
          </w:p>
        </w:tc>
        <w:tc>
          <w:tcPr>
            <w:tcW w:w="2575"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18"/>
                <w:szCs w:val="18"/>
              </w:rPr>
            </w:pPr>
            <w:r>
              <w:rPr>
                <w:rFonts w:hint="eastAsia"/>
                <w:sz w:val="18"/>
                <w:szCs w:val="18"/>
              </w:rPr>
              <w:t>姓名</w:t>
            </w:r>
          </w:p>
        </w:tc>
        <w:tc>
          <w:tcPr>
            <w:tcW w:w="992" w:type="dxa"/>
            <w:vAlign w:val="center"/>
          </w:tcPr>
          <w:p>
            <w:pPr>
              <w:spacing w:line="240" w:lineRule="exact"/>
              <w:jc w:val="center"/>
              <w:rPr>
                <w:b/>
                <w:color w:val="000000" w:themeColor="text1"/>
                <w:sz w:val="18"/>
                <w:szCs w:val="18"/>
              </w:rPr>
            </w:pPr>
            <w:r>
              <w:rPr>
                <w:rFonts w:hint="eastAsia"/>
                <w:sz w:val="18"/>
                <w:szCs w:val="18"/>
              </w:rPr>
              <w:t>组内身份</w:t>
            </w:r>
          </w:p>
        </w:tc>
        <w:tc>
          <w:tcPr>
            <w:tcW w:w="1077" w:type="dxa"/>
            <w:vAlign w:val="center"/>
          </w:tcPr>
          <w:p>
            <w:pPr>
              <w:spacing w:line="240" w:lineRule="exact"/>
              <w:jc w:val="center"/>
              <w:rPr>
                <w:b/>
                <w:color w:val="000000" w:themeColor="text1"/>
                <w:sz w:val="18"/>
                <w:szCs w:val="18"/>
              </w:rPr>
            </w:pPr>
            <w:r>
              <w:rPr>
                <w:rFonts w:hint="eastAsia"/>
                <w:sz w:val="18"/>
                <w:szCs w:val="18"/>
              </w:rPr>
              <w:t>性别</w:t>
            </w:r>
          </w:p>
        </w:tc>
        <w:tc>
          <w:tcPr>
            <w:tcW w:w="3375" w:type="dxa"/>
            <w:gridSpan w:val="3"/>
            <w:vAlign w:val="center"/>
          </w:tcPr>
          <w:p>
            <w:pPr>
              <w:spacing w:line="240" w:lineRule="exact"/>
              <w:jc w:val="center"/>
              <w:rPr>
                <w:b/>
                <w:color w:val="000000" w:themeColor="text1"/>
                <w:sz w:val="18"/>
                <w:szCs w:val="18"/>
              </w:rPr>
            </w:pPr>
            <w:r>
              <w:rPr>
                <w:rFonts w:hint="eastAsia"/>
                <w:sz w:val="18"/>
                <w:szCs w:val="18"/>
              </w:rPr>
              <w:t>注册资格</w:t>
            </w:r>
          </w:p>
        </w:tc>
        <w:tc>
          <w:tcPr>
            <w:tcW w:w="2575" w:type="dxa"/>
            <w:gridSpan w:val="2"/>
            <w:vAlign w:val="center"/>
          </w:tcPr>
          <w:p>
            <w:pPr>
              <w:spacing w:line="240" w:lineRule="exact"/>
              <w:jc w:val="center"/>
              <w:rPr>
                <w:b/>
                <w:color w:val="000000" w:themeColor="text1"/>
                <w:sz w:val="18"/>
                <w:szCs w:val="18"/>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hint="eastAsia" w:ascii="Times New Roman" w:hAnsi="Times New Roman" w:eastAsia="宋体" w:cs="Times New Roman"/>
                <w:kern w:val="2"/>
                <w:sz w:val="20"/>
                <w:szCs w:val="24"/>
                <w:lang w:val="en-US" w:eastAsia="zh-CN" w:bidi="ar-SA"/>
              </w:rPr>
            </w:pPr>
            <w:r>
              <w:rPr>
                <w:sz w:val="20"/>
              </w:rPr>
              <w:t>吉洁</w:t>
            </w:r>
          </w:p>
        </w:tc>
        <w:tc>
          <w:tcPr>
            <w:tcW w:w="992" w:type="dxa"/>
            <w:vAlign w:val="center"/>
          </w:tcPr>
          <w:p>
            <w:pPr>
              <w:jc w:val="center"/>
              <w:rPr>
                <w:rFonts w:hint="eastAsia" w:ascii="Times New Roman" w:hAnsi="Times New Roman" w:eastAsia="宋体" w:cs="Times New Roman"/>
                <w:kern w:val="2"/>
                <w:sz w:val="20"/>
                <w:szCs w:val="24"/>
                <w:lang w:val="en-US" w:eastAsia="zh-CN" w:bidi="ar-SA"/>
              </w:rPr>
            </w:pPr>
            <w:r>
              <w:rPr>
                <w:sz w:val="20"/>
              </w:rPr>
              <w:t>组长</w:t>
            </w:r>
          </w:p>
        </w:tc>
        <w:tc>
          <w:tcPr>
            <w:tcW w:w="1077" w:type="dxa"/>
            <w:vAlign w:val="center"/>
          </w:tcPr>
          <w:p>
            <w:pPr>
              <w:jc w:val="center"/>
              <w:rPr>
                <w:rFonts w:hint="eastAsia" w:ascii="Times New Roman" w:hAnsi="Times New Roman" w:eastAsia="宋体" w:cs="Times New Roman"/>
                <w:kern w:val="2"/>
                <w:sz w:val="20"/>
                <w:szCs w:val="24"/>
                <w:lang w:val="en-US" w:eastAsia="zh-CN" w:bidi="ar-SA"/>
              </w:rPr>
            </w:pPr>
            <w:r>
              <w:rPr>
                <w:sz w:val="20"/>
              </w:rPr>
              <w:t>女</w:t>
            </w:r>
          </w:p>
        </w:tc>
        <w:tc>
          <w:tcPr>
            <w:tcW w:w="3375" w:type="dxa"/>
            <w:gridSpan w:val="3"/>
            <w:vAlign w:val="center"/>
          </w:tcPr>
          <w:p>
            <w:pPr>
              <w:jc w:val="center"/>
              <w:rPr>
                <w:sz w:val="20"/>
              </w:rPr>
            </w:pPr>
            <w:r>
              <w:rPr>
                <w:sz w:val="20"/>
              </w:rPr>
              <w:t>E:审核员</w:t>
            </w:r>
          </w:p>
          <w:p>
            <w:pPr>
              <w:jc w:val="center"/>
              <w:rPr>
                <w:rFonts w:hint="eastAsia" w:ascii="Times New Roman" w:hAnsi="Times New Roman" w:eastAsia="宋体" w:cs="Times New Roman"/>
                <w:kern w:val="2"/>
                <w:sz w:val="20"/>
                <w:szCs w:val="24"/>
                <w:lang w:val="en-US" w:eastAsia="zh-CN" w:bidi="ar-SA"/>
              </w:rPr>
            </w:pPr>
            <w:r>
              <w:rPr>
                <w:sz w:val="20"/>
              </w:rPr>
              <w:t>O:审核员</w:t>
            </w:r>
          </w:p>
        </w:tc>
        <w:tc>
          <w:tcPr>
            <w:tcW w:w="2575" w:type="dxa"/>
            <w:gridSpan w:val="2"/>
            <w:vAlign w:val="center"/>
          </w:tcPr>
          <w:p>
            <w:pPr>
              <w:jc w:val="center"/>
              <w:rPr>
                <w:sz w:val="20"/>
              </w:rPr>
            </w:pPr>
            <w:r>
              <w:rPr>
                <w:sz w:val="20"/>
              </w:rPr>
              <w:t>E:17.12.04,29.12.00</w:t>
            </w:r>
          </w:p>
          <w:p>
            <w:pPr>
              <w:jc w:val="center"/>
              <w:rPr>
                <w:rFonts w:hint="eastAsia" w:ascii="Times New Roman" w:hAnsi="Times New Roman" w:eastAsia="宋体" w:cs="Times New Roman"/>
                <w:kern w:val="2"/>
                <w:sz w:val="20"/>
                <w:szCs w:val="24"/>
                <w:lang w:val="en-US" w:eastAsia="zh-CN" w:bidi="ar-SA"/>
              </w:rPr>
            </w:pPr>
            <w:r>
              <w:rPr>
                <w:sz w:val="20"/>
              </w:rPr>
              <w:t>O:17.12.04,29.12.00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eastAsia"/>
                <w:sz w:val="18"/>
                <w:szCs w:val="18"/>
              </w:rPr>
            </w:pPr>
            <w:r>
              <w:rPr>
                <w:rFonts w:hint="eastAsia"/>
                <w:sz w:val="18"/>
                <w:szCs w:val="18"/>
              </w:rPr>
              <w:t>姓名</w:t>
            </w:r>
          </w:p>
        </w:tc>
        <w:tc>
          <w:tcPr>
            <w:tcW w:w="992" w:type="dxa"/>
            <w:vAlign w:val="center"/>
          </w:tcPr>
          <w:p>
            <w:pPr>
              <w:spacing w:line="240" w:lineRule="exact"/>
              <w:jc w:val="center"/>
              <w:rPr>
                <w:rFonts w:hint="eastAsia"/>
                <w:sz w:val="18"/>
                <w:szCs w:val="18"/>
              </w:rPr>
            </w:pPr>
            <w:r>
              <w:rPr>
                <w:rFonts w:hint="eastAsia"/>
                <w:sz w:val="18"/>
                <w:szCs w:val="18"/>
              </w:rPr>
              <w:t>性别</w:t>
            </w:r>
          </w:p>
        </w:tc>
        <w:tc>
          <w:tcPr>
            <w:tcW w:w="1077" w:type="dxa"/>
            <w:vAlign w:val="center"/>
          </w:tcPr>
          <w:p>
            <w:pPr>
              <w:spacing w:line="240" w:lineRule="exact"/>
              <w:jc w:val="center"/>
              <w:rPr>
                <w:rFonts w:hint="eastAsia"/>
                <w:sz w:val="18"/>
                <w:szCs w:val="18"/>
              </w:rPr>
            </w:pPr>
            <w:r>
              <w:rPr>
                <w:rFonts w:hint="eastAsia"/>
                <w:sz w:val="18"/>
                <w:szCs w:val="18"/>
              </w:rPr>
              <w:t>角色</w:t>
            </w:r>
          </w:p>
        </w:tc>
        <w:tc>
          <w:tcPr>
            <w:tcW w:w="3375" w:type="dxa"/>
            <w:gridSpan w:val="3"/>
            <w:vAlign w:val="center"/>
          </w:tcPr>
          <w:p>
            <w:pPr>
              <w:spacing w:line="240" w:lineRule="exact"/>
              <w:jc w:val="center"/>
              <w:rPr>
                <w:rFonts w:hint="eastAsia"/>
                <w:sz w:val="18"/>
                <w:szCs w:val="18"/>
              </w:rPr>
            </w:pPr>
            <w:r>
              <w:rPr>
                <w:rFonts w:hint="eastAsia"/>
                <w:sz w:val="18"/>
                <w:szCs w:val="18"/>
              </w:rPr>
              <w:t>工作单位</w:t>
            </w:r>
          </w:p>
        </w:tc>
        <w:tc>
          <w:tcPr>
            <w:tcW w:w="2575" w:type="dxa"/>
            <w:gridSpan w:val="2"/>
            <w:vAlign w:val="center"/>
          </w:tcPr>
          <w:p>
            <w:pPr>
              <w:spacing w:line="240" w:lineRule="exact"/>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default"/>
                <w:sz w:val="18"/>
                <w:szCs w:val="18"/>
                <w:lang w:val="en-US" w:eastAsia="zh-CN"/>
              </w:rPr>
            </w:pPr>
            <w:r>
              <w:rPr>
                <w:rFonts w:hint="eastAsia"/>
                <w:sz w:val="18"/>
                <w:szCs w:val="18"/>
                <w:lang w:val="en-US" w:eastAsia="zh-CN"/>
              </w:rPr>
              <w:t>/</w:t>
            </w:r>
          </w:p>
        </w:tc>
        <w:tc>
          <w:tcPr>
            <w:tcW w:w="992" w:type="dxa"/>
            <w:vAlign w:val="center"/>
          </w:tcPr>
          <w:p>
            <w:pPr>
              <w:spacing w:line="240" w:lineRule="exact"/>
              <w:jc w:val="center"/>
              <w:rPr>
                <w:rFonts w:hint="eastAsia"/>
                <w:sz w:val="18"/>
                <w:szCs w:val="18"/>
              </w:rPr>
            </w:pPr>
          </w:p>
        </w:tc>
        <w:tc>
          <w:tcPr>
            <w:tcW w:w="1077" w:type="dxa"/>
            <w:vAlign w:val="center"/>
          </w:tcPr>
          <w:p>
            <w:pPr>
              <w:spacing w:line="240" w:lineRule="exact"/>
              <w:jc w:val="center"/>
              <w:rPr>
                <w:rFonts w:hint="eastAsia"/>
                <w:sz w:val="18"/>
                <w:szCs w:val="18"/>
              </w:rPr>
            </w:pPr>
          </w:p>
        </w:tc>
        <w:tc>
          <w:tcPr>
            <w:tcW w:w="3375" w:type="dxa"/>
            <w:gridSpan w:val="3"/>
            <w:vAlign w:val="center"/>
          </w:tcPr>
          <w:p>
            <w:pPr>
              <w:spacing w:line="240" w:lineRule="exact"/>
              <w:jc w:val="center"/>
              <w:rPr>
                <w:rFonts w:hint="eastAsia"/>
                <w:sz w:val="18"/>
                <w:szCs w:val="18"/>
                <w:lang w:eastAsia="zh-CN"/>
              </w:rPr>
            </w:pPr>
          </w:p>
        </w:tc>
        <w:tc>
          <w:tcPr>
            <w:tcW w:w="2575" w:type="dxa"/>
            <w:gridSpan w:val="2"/>
            <w:vAlign w:val="center"/>
          </w:tcPr>
          <w:p>
            <w:pPr>
              <w:spacing w:line="240" w:lineRule="exact"/>
              <w:jc w:val="center"/>
              <w:rPr>
                <w:rFonts w:hint="eastAsia"/>
                <w:sz w:val="18"/>
                <w:szCs w:val="18"/>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lang w:val="en-US" w:eastAsia="zh-CN"/>
              </w:rPr>
              <w:t>补充</w:t>
            </w:r>
            <w:r>
              <w:rPr>
                <w:rFonts w:hint="eastAsia" w:ascii="宋体" w:cs="宋体" w:hAnsiTheme="minorHAnsi"/>
                <w:color w:val="000000" w:themeColor="text1"/>
                <w:kern w:val="0"/>
                <w:sz w:val="20"/>
                <w:szCs w:val="20"/>
              </w:rPr>
              <w:t>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w:t>
            </w:r>
            <w:r>
              <w:rPr>
                <w:rFonts w:hint="eastAsia" w:ascii="宋体" w:cs="宋体" w:hAnsiTheme="minorHAnsi"/>
                <w:color w:val="000000" w:themeColor="text1"/>
                <w:kern w:val="0"/>
                <w:sz w:val="20"/>
                <w:szCs w:val="20"/>
                <w:lang w:val="en-US" w:eastAsia="zh-CN"/>
              </w:rPr>
              <w:t>继续</w:t>
            </w:r>
            <w:r>
              <w:rPr>
                <w:rFonts w:hint="eastAsia" w:ascii="宋体" w:cs="宋体" w:hAnsiTheme="minorHAnsi"/>
                <w:color w:val="000000" w:themeColor="text1"/>
                <w:kern w:val="0"/>
                <w:sz w:val="20"/>
                <w:szCs w:val="20"/>
              </w:rPr>
              <w:t>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w:t>
      </w:r>
      <w:r>
        <w:rPr>
          <w:rFonts w:hint="eastAsia" w:ascii="宋体" w:hAnsi="宋体"/>
          <w:b/>
          <w:color w:val="000000" w:themeColor="text1"/>
          <w:spacing w:val="-10"/>
          <w:sz w:val="20"/>
          <w:szCs w:val="20"/>
          <w:lang w:val="en-US" w:eastAsia="zh-CN"/>
        </w:rPr>
        <w:t>-</w:t>
      </w:r>
      <w:r>
        <w:rPr>
          <w:rFonts w:hint="eastAsia" w:ascii="宋体" w:hAnsi="宋体"/>
          <w:b/>
          <w:color w:val="000000" w:themeColor="text1"/>
          <w:spacing w:val="-10"/>
          <w:sz w:val="20"/>
          <w:szCs w:val="20"/>
        </w:rPr>
        <w:t xml:space="preserve">2016 idt ISO 9001:2015标准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w:t>
      </w:r>
      <w:r>
        <w:rPr>
          <w:rFonts w:hint="eastAsia" w:ascii="宋体" w:hAnsi="宋体"/>
          <w:b/>
          <w:color w:val="000000" w:themeColor="text1"/>
          <w:spacing w:val="-10"/>
          <w:sz w:val="20"/>
          <w:szCs w:val="20"/>
          <w:lang w:val="en-US" w:eastAsia="zh-CN"/>
        </w:rPr>
        <w:t xml:space="preserve"> </w:t>
      </w:r>
      <w:r>
        <w:rPr>
          <w:rFonts w:hint="eastAsia" w:ascii="宋体" w:hAnsi="宋体"/>
          <w:b/>
          <w:color w:val="000000" w:themeColor="text1"/>
          <w:spacing w:val="-10"/>
          <w:sz w:val="20"/>
          <w:szCs w:val="20"/>
        </w:rPr>
        <w:t>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2047"/>
        <w:gridCol w:w="772"/>
        <w:gridCol w:w="590"/>
        <w:gridCol w:w="350"/>
        <w:gridCol w:w="1756"/>
        <w:gridCol w:w="852"/>
        <w:gridCol w:w="156"/>
        <w:gridCol w:w="85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92" w:type="dxa"/>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5515" w:type="dxa"/>
            <w:gridSpan w:val="5"/>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color w:val="000000" w:themeColor="text1"/>
                <w:sz w:val="20"/>
                <w:szCs w:val="20"/>
                <w:lang w:eastAsia="zh-CN"/>
              </w:rPr>
            </w:pPr>
            <w:r>
              <w:rPr>
                <w:rFonts w:hint="eastAsia" w:ascii="宋体"/>
                <w:b w:val="0"/>
                <w:bCs/>
                <w:color w:val="000000"/>
                <w:sz w:val="20"/>
                <w:szCs w:val="20"/>
                <w:lang w:eastAsia="zh-CN"/>
              </w:rPr>
              <w:t>任丘市鑫瑞铁路工程材料有限公司</w:t>
            </w:r>
          </w:p>
        </w:tc>
        <w:tc>
          <w:tcPr>
            <w:tcW w:w="1860" w:type="dxa"/>
            <w:gridSpan w:val="3"/>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eastAsia" w:ascii="宋体" w:hAnsi="宋体"/>
                <w:b/>
                <w:color w:val="000000" w:themeColor="text1"/>
                <w:sz w:val="20"/>
                <w:szCs w:val="20"/>
              </w:rPr>
              <w:t>组织人数</w:t>
            </w:r>
          </w:p>
        </w:tc>
        <w:tc>
          <w:tcPr>
            <w:tcW w:w="1009" w:type="dxa"/>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cs="Times New Roman"/>
                <w:b w:val="0"/>
                <w:bCs/>
                <w:color w:val="000000" w:themeColor="text1"/>
                <w:sz w:val="20"/>
                <w:szCs w:val="20"/>
                <w:lang w:val="en-US" w:eastAsia="zh-CN"/>
              </w:rPr>
            </w:pPr>
            <w:r>
              <w:rPr>
                <w:rFonts w:hint="eastAsia" w:cs="Times New Roman"/>
                <w:b w:val="0"/>
                <w:bCs/>
                <w:color w:val="000000" w:themeColor="text1"/>
                <w:sz w:val="20"/>
                <w:szCs w:val="20"/>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注册地址</w:t>
            </w:r>
          </w:p>
        </w:tc>
        <w:tc>
          <w:tcPr>
            <w:tcW w:w="5515"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color w:val="auto"/>
                <w:kern w:val="2"/>
                <w:sz w:val="21"/>
                <w:szCs w:val="21"/>
                <w:lang w:val="en-US" w:eastAsia="zh-CN" w:bidi="ar-SA"/>
              </w:rPr>
            </w:pPr>
            <w:r>
              <w:rPr>
                <w:sz w:val="21"/>
                <w:szCs w:val="21"/>
              </w:rPr>
              <w:t>任丘市麻家坞镇北马庄村</w:t>
            </w:r>
          </w:p>
        </w:tc>
        <w:tc>
          <w:tcPr>
            <w:tcW w:w="852"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邮编</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p>
        </w:tc>
        <w:tc>
          <w:tcPr>
            <w:tcW w:w="2017"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1"/>
                <w:szCs w:val="21"/>
                <w:lang w:val="en-US" w:eastAsia="zh-CN" w:bidi="ar-SA"/>
              </w:rPr>
            </w:pPr>
            <w:r>
              <w:rPr>
                <w:rFonts w:hint="eastAsia" w:ascii="宋体" w:hAnsi="宋体"/>
                <w:sz w:val="21"/>
                <w:szCs w:val="21"/>
                <w:lang w:val="en-US" w:eastAsia="zh-CN"/>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经营地址</w:t>
            </w:r>
          </w:p>
        </w:tc>
        <w:tc>
          <w:tcPr>
            <w:tcW w:w="5515"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color w:val="auto"/>
                <w:kern w:val="2"/>
                <w:sz w:val="21"/>
                <w:szCs w:val="21"/>
                <w:lang w:val="en-US" w:eastAsia="zh-CN" w:bidi="ar-SA"/>
              </w:rPr>
            </w:pPr>
            <w:r>
              <w:rPr>
                <w:sz w:val="21"/>
                <w:szCs w:val="21"/>
              </w:rPr>
              <w:t>任丘市麻家坞镇北马庄村</w:t>
            </w:r>
          </w:p>
        </w:tc>
        <w:tc>
          <w:tcPr>
            <w:tcW w:w="852"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p>
        </w:tc>
        <w:tc>
          <w:tcPr>
            <w:tcW w:w="2017"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1"/>
                <w:szCs w:val="21"/>
                <w:lang w:val="en-US" w:eastAsia="zh-CN" w:bidi="ar-SA"/>
              </w:rPr>
            </w:pPr>
            <w:r>
              <w:rPr>
                <w:rFonts w:hint="eastAsia" w:ascii="宋体" w:hAnsi="宋体"/>
                <w:sz w:val="21"/>
                <w:szCs w:val="21"/>
                <w:lang w:val="en-US" w:eastAsia="zh-CN"/>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联系人</w:t>
            </w:r>
          </w:p>
        </w:tc>
        <w:tc>
          <w:tcPr>
            <w:tcW w:w="204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color w:val="auto"/>
                <w:kern w:val="2"/>
                <w:sz w:val="21"/>
                <w:szCs w:val="21"/>
                <w:lang w:val="en-US" w:eastAsia="zh-CN" w:bidi="ar-SA"/>
              </w:rPr>
            </w:pPr>
            <w:r>
              <w:rPr>
                <w:sz w:val="21"/>
                <w:szCs w:val="21"/>
              </w:rPr>
              <w:t>陈亚雨</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电话</w:t>
            </w:r>
          </w:p>
        </w:tc>
        <w:tc>
          <w:tcPr>
            <w:tcW w:w="2106"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1"/>
                <w:szCs w:val="21"/>
                <w:lang w:val="en-US" w:eastAsia="zh-CN" w:bidi="ar-SA"/>
              </w:rPr>
            </w:pPr>
            <w:r>
              <w:rPr>
                <w:sz w:val="21"/>
                <w:szCs w:val="21"/>
              </w:rPr>
              <w:t>18333055888</w:t>
            </w:r>
          </w:p>
        </w:tc>
        <w:tc>
          <w:tcPr>
            <w:tcW w:w="85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传真</w:t>
            </w:r>
          </w:p>
        </w:tc>
        <w:tc>
          <w:tcPr>
            <w:tcW w:w="2017"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法人代表</w:t>
            </w:r>
          </w:p>
        </w:tc>
        <w:tc>
          <w:tcPr>
            <w:tcW w:w="204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color w:val="auto"/>
                <w:kern w:val="2"/>
                <w:sz w:val="21"/>
                <w:szCs w:val="21"/>
                <w:lang w:val="en-US" w:eastAsia="zh-CN" w:bidi="ar-SA"/>
              </w:rPr>
            </w:pPr>
            <w:r>
              <w:rPr>
                <w:sz w:val="21"/>
                <w:szCs w:val="21"/>
              </w:rPr>
              <w:t>陈向河</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管理者代表</w:t>
            </w:r>
          </w:p>
        </w:tc>
        <w:tc>
          <w:tcPr>
            <w:tcW w:w="2106"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color w:val="auto"/>
                <w:kern w:val="2"/>
                <w:sz w:val="21"/>
                <w:szCs w:val="21"/>
                <w:lang w:val="en-US" w:eastAsia="zh-CN" w:bidi="ar-SA"/>
              </w:rPr>
            </w:pPr>
            <w:r>
              <w:rPr>
                <w:sz w:val="21"/>
                <w:szCs w:val="21"/>
              </w:rPr>
              <w:t>陈亚雨</w:t>
            </w:r>
          </w:p>
        </w:tc>
        <w:tc>
          <w:tcPr>
            <w:tcW w:w="852"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邮箱</w:t>
            </w:r>
          </w:p>
        </w:tc>
        <w:tc>
          <w:tcPr>
            <w:tcW w:w="2017"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lang w:val="en-US" w:eastAsia="zh-CN" w:bidi="ar-SA"/>
              </w:rPr>
            </w:pPr>
            <w:r>
              <w:rPr>
                <w:b w:val="0"/>
                <w:bCs w:val="0"/>
                <w:sz w:val="21"/>
                <w:szCs w:val="21"/>
              </w:rPr>
              <w:t>291573806@qq.com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sz w:val="20"/>
                <w:szCs w:val="20"/>
              </w:rPr>
              <w:t>管理体系认证范围</w:t>
            </w:r>
          </w:p>
        </w:tc>
        <w:tc>
          <w:tcPr>
            <w:tcW w:w="8384" w:type="dxa"/>
            <w:gridSpan w:val="9"/>
          </w:tcPr>
          <w:p>
            <w:pPr>
              <w:rPr>
                <w:sz w:val="20"/>
              </w:rPr>
            </w:pPr>
            <w:bookmarkStart w:id="1" w:name="审核范围"/>
            <w:r>
              <w:rPr>
                <w:sz w:val="20"/>
              </w:rPr>
              <w:t>E：套筒的生产，铁路用中空注浆锚杆、接地端子、脚手架和PVC管件的销售及相关环境管理活动</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u w:val="single"/>
                <w:lang w:val="en-GB" w:eastAsia="zh-CN"/>
              </w:rPr>
            </w:pPr>
            <w:r>
              <w:rPr>
                <w:sz w:val="20"/>
              </w:rPr>
              <w:t>O：套筒的生产，铁路用中空注浆锚杆、接地端子、脚手架和PVC管件的销售及相关职业健康安全管理活动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759" w:type="dxa"/>
            <w:gridSpan w:val="4"/>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cs="Times New Roman"/>
                <w:b w:val="0"/>
                <w:bCs/>
                <w:color w:val="000000"/>
                <w:sz w:val="20"/>
                <w:szCs w:val="20"/>
                <w:lang w:eastAsia="zh-CN"/>
              </w:rPr>
            </w:pPr>
            <w:r>
              <w:rPr>
                <w:sz w:val="20"/>
              </w:rPr>
              <w:t>17.12.04,29.12.00</w:t>
            </w:r>
          </w:p>
        </w:tc>
        <w:tc>
          <w:tcPr>
            <w:tcW w:w="2764" w:type="dxa"/>
            <w:gridSpan w:val="3"/>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819" w:type="dxa"/>
            <w:gridSpan w:val="2"/>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default" w:ascii="Times New Roman" w:hAnsi="Times New Roman" w:cs="Times New Roman"/>
                <w:b w:val="0"/>
                <w:bCs/>
                <w:color w:val="000000"/>
                <w:sz w:val="20"/>
                <w:szCs w:val="20"/>
                <w:lang w:val="en-US" w:eastAsia="zh-CN"/>
              </w:rPr>
              <w:t>2019年</w:t>
            </w:r>
            <w:r>
              <w:rPr>
                <w:rFonts w:hint="eastAsia" w:cs="Times New Roman"/>
                <w:b w:val="0"/>
                <w:bCs/>
                <w:color w:val="000000"/>
                <w:sz w:val="20"/>
                <w:szCs w:val="20"/>
                <w:lang w:val="en-US" w:eastAsia="zh-CN"/>
              </w:rPr>
              <w:t>9</w:t>
            </w:r>
            <w:r>
              <w:rPr>
                <w:rFonts w:hint="default" w:ascii="Times New Roman" w:hAnsi="Times New Roman" w:cs="Times New Roman"/>
                <w:b w:val="0"/>
                <w:bCs/>
                <w:color w:val="000000"/>
                <w:sz w:val="20"/>
                <w:szCs w:val="20"/>
                <w:lang w:val="en-US" w:eastAsia="zh-CN"/>
              </w:rPr>
              <w:t>月1日</w:t>
            </w:r>
          </w:p>
        </w:tc>
        <w:tc>
          <w:tcPr>
            <w:tcW w:w="3704" w:type="dxa"/>
            <w:gridSpan w:val="5"/>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384" w:type="dxa"/>
            <w:gridSpan w:val="9"/>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8384" w:type="dxa"/>
            <w:gridSpan w:val="9"/>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b/>
                <w:color w:val="000000" w:themeColor="text1"/>
                <w:sz w:val="20"/>
                <w:szCs w:val="20"/>
              </w:rPr>
            </w:pP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1.</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管理层</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4.1/4.2/4.3/4.4/5.1/5.2/5.3/6.1/6.2/7.1/9.1.1/9.3/10.1/10.3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eastAsia="zh-CN"/>
              </w:rPr>
            </w:pPr>
            <w:r>
              <w:rPr>
                <w:rFonts w:hint="eastAsia"/>
                <w:sz w:val="21"/>
                <w:szCs w:val="21"/>
                <w:lang w:val="en-US" w:eastAsia="zh-CN"/>
              </w:rPr>
              <w:t>办公室</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5.3/6.1.2/6.1.3/6.2/8.1/8.2/9.1/9.2/10.2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lang w:val="en-US" w:eastAsia="zh-CN"/>
              </w:rPr>
            </w:pPr>
            <w:r>
              <w:rPr>
                <w:rFonts w:hint="eastAsia"/>
                <w:sz w:val="21"/>
                <w:szCs w:val="21"/>
                <w:lang w:val="en-US" w:eastAsia="zh-CN"/>
              </w:rPr>
              <w:t>生产技术部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供销部</w:t>
            </w:r>
          </w:p>
        </w:tc>
        <w:tc>
          <w:tcPr>
            <w:tcW w:w="7960"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5.3/6.1.2/6.2/8.1/8.2</w:t>
            </w:r>
          </w:p>
        </w:tc>
      </w:tr>
    </w:tbl>
    <w:p>
      <w:pPr>
        <w:spacing w:line="360" w:lineRule="auto"/>
        <w:ind w:left="-158" w:leftChars="-337" w:hanging="550" w:hangingChars="271"/>
        <w:rPr>
          <w:rFonts w:ascii="宋体" w:hAnsi="宋体"/>
          <w:b/>
          <w:color w:val="000000" w:themeColor="text1"/>
          <w:spacing w:val="-4"/>
          <w:szCs w:val="21"/>
        </w:rPr>
      </w:pPr>
      <w:r>
        <w:rPr>
          <w:rFonts w:ascii="宋体" w:hAnsi="宋体"/>
          <w:b/>
          <w:color w:val="000000" w:themeColor="text1"/>
          <w:spacing w:val="-4"/>
          <w:szCs w:val="21"/>
        </w:rPr>
        <w:t xml:space="preserve">3. </w:t>
      </w:r>
      <w:r>
        <w:rPr>
          <w:rFonts w:hint="eastAsia" w:ascii="宋体" w:hAnsi="宋体"/>
          <w:b/>
          <w:color w:val="000000" w:themeColor="text1"/>
          <w:spacing w:val="-4"/>
          <w:szCs w:val="21"/>
        </w:rPr>
        <w:t>已审核的分场所（分中心、分部或不在一起的部门）、临时/流动场所信息</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pacing w:val="-20"/>
                <w:sz w:val="21"/>
                <w:szCs w:val="21"/>
                <w:u w:val="none"/>
                <w:lang w:val="en-US" w:eastAsia="zh-CN"/>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pacing w:val="-20"/>
                <w:sz w:val="21"/>
                <w:szCs w:val="21"/>
                <w:u w:val="none"/>
                <w:lang w:val="en-US" w:eastAsia="zh-CN"/>
              </w:rPr>
            </w:pPr>
          </w:p>
        </w:tc>
      </w:tr>
    </w:tbl>
    <w:p>
      <w:pPr>
        <w:spacing w:line="360" w:lineRule="auto"/>
        <w:ind w:left="-158" w:leftChars="-337" w:hanging="550" w:hangingChars="271"/>
        <w:rPr>
          <w:rFonts w:ascii="宋体" w:hAnsi="宋体"/>
          <w:b/>
          <w:color w:val="000000" w:themeColor="text1"/>
          <w:spacing w:val="-4"/>
          <w:szCs w:val="21"/>
        </w:rPr>
      </w:pPr>
      <w:r>
        <w:rPr>
          <w:rFonts w:hint="eastAsia" w:ascii="宋体" w:hAnsi="宋体"/>
          <w:b/>
          <w:color w:val="000000" w:themeColor="text1"/>
          <w:spacing w:val="-4"/>
          <w:szCs w:val="21"/>
        </w:rPr>
        <w:t>4. 已审核具体的产品/服务/型号/类型/系列和过程（设计/生产┄┄）</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1818"/>
        <w:gridCol w:w="1418"/>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产品名称/服务名称</w:t>
            </w:r>
          </w:p>
        </w:tc>
        <w:tc>
          <w:tcPr>
            <w:tcW w:w="18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型号/类型</w:t>
            </w:r>
          </w:p>
        </w:tc>
        <w:tc>
          <w:tcPr>
            <w:tcW w:w="14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6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sz w:val="20"/>
              </w:rPr>
              <w:t>套筒的生产，铁路用中空注浆锚杆、接地端子、脚手架和PVC管件的销售</w:t>
            </w:r>
          </w:p>
        </w:tc>
        <w:tc>
          <w:tcPr>
            <w:tcW w:w="18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0"/>
                <w:lang w:val="en-US" w:eastAsia="zh-CN"/>
              </w:rPr>
              <w:t>/</w:t>
            </w:r>
          </w:p>
        </w:tc>
        <w:tc>
          <w:tcPr>
            <w:tcW w:w="14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56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lang w:eastAsia="zh-CN"/>
        </w:rPr>
        <w:t>☑</w:t>
      </w:r>
      <w:r>
        <w:rPr>
          <w:rFonts w:hint="eastAsia"/>
          <w:b/>
          <w:color w:val="000000" w:themeColor="text1"/>
          <w:spacing w:val="-10"/>
          <w:szCs w:val="21"/>
        </w:rPr>
        <w:t>上次审核时间</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21-22</w:t>
      </w:r>
      <w:r>
        <w:rPr>
          <w:rFonts w:hint="eastAsia"/>
          <w:b/>
          <w:color w:val="000000" w:themeColor="text1"/>
          <w:spacing w:val="-10"/>
          <w:szCs w:val="21"/>
        </w:rPr>
        <w:t>日（</w:t>
      </w:r>
      <w:r>
        <w:rPr>
          <w:rFonts w:hint="eastAsia"/>
          <w:b/>
          <w:color w:val="000000" w:themeColor="text1"/>
          <w:spacing w:val="-10"/>
          <w:szCs w:val="21"/>
          <w:lang w:val="en-US" w:eastAsia="zh-CN"/>
        </w:rPr>
        <w:t>远程审核</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8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0"/>
                <w:szCs w:val="20"/>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0"/>
                <w:szCs w:val="20"/>
                <w:lang w:eastAsia="zh-CN"/>
              </w:rPr>
              <w:t>；</w:t>
            </w:r>
            <w:r>
              <w:rPr>
                <w:rFonts w:hint="eastAsia"/>
                <w:sz w:val="20"/>
                <w:szCs w:val="20"/>
              </w:rPr>
              <w:t>对这些内外部因素通过定期的网站获取、顾客沟通及定期（周总结会议、月中、月末总结会议）内部总结等方式进行监视和评审</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0"/>
                <w:szCs w:val="20"/>
              </w:rPr>
              <w:t>公司确定了与</w:t>
            </w:r>
            <w:r>
              <w:rPr>
                <w:rFonts w:hint="eastAsia"/>
                <w:sz w:val="20"/>
                <w:szCs w:val="20"/>
                <w:lang w:eastAsia="zh-CN"/>
              </w:rPr>
              <w:t>环境职业健康安全</w:t>
            </w:r>
            <w:r>
              <w:rPr>
                <w:rFonts w:hint="eastAsia"/>
                <w:sz w:val="20"/>
                <w:szCs w:val="20"/>
              </w:rPr>
              <w:t>管理体系有关的相关方包括顾客、政府机构、社区、股东、供应商、内部员工等。相关方对企业的要求有：遵守国家的现行法律法规</w:t>
            </w:r>
            <w:r>
              <w:rPr>
                <w:rFonts w:hint="eastAsia"/>
                <w:sz w:val="20"/>
                <w:szCs w:val="20"/>
                <w:lang w:eastAsia="zh-CN"/>
              </w:rPr>
              <w:t>，</w:t>
            </w:r>
            <w:r>
              <w:rPr>
                <w:rFonts w:hint="eastAsia"/>
                <w:sz w:val="20"/>
                <w:szCs w:val="20"/>
              </w:rPr>
              <w:t>对环境无重大污染、</w:t>
            </w:r>
            <w:r>
              <w:rPr>
                <w:rFonts w:hint="eastAsia"/>
                <w:sz w:val="20"/>
                <w:szCs w:val="20"/>
                <w:lang w:val="en-US" w:eastAsia="zh-CN"/>
              </w:rPr>
              <w:t>对人员无重大伤害，</w:t>
            </w:r>
            <w:r>
              <w:rPr>
                <w:rFonts w:hint="eastAsia"/>
                <w:sz w:val="20"/>
                <w:szCs w:val="20"/>
              </w:rPr>
              <w:t>不断提高技术水平以及不断提高客户满意度等。</w:t>
            </w:r>
            <w:r>
              <w:rPr>
                <w:rFonts w:hint="eastAsia"/>
                <w:sz w:val="20"/>
                <w:szCs w:val="20"/>
                <w:lang w:val="en-US" w:eastAsia="zh-CN"/>
              </w:rPr>
              <w:t>公司通过</w:t>
            </w:r>
            <w:r>
              <w:rPr>
                <w:rFonts w:hint="eastAsia"/>
                <w:sz w:val="20"/>
                <w:szCs w:val="20"/>
              </w:rPr>
              <w:t>关注顾客需求，通过持续改进增强用户满意</w:t>
            </w:r>
            <w:r>
              <w:rPr>
                <w:rFonts w:hint="eastAsia"/>
                <w:sz w:val="20"/>
                <w:szCs w:val="20"/>
                <w:lang w:eastAsia="zh-CN"/>
              </w:rPr>
              <w:t>；</w:t>
            </w:r>
            <w:r>
              <w:rPr>
                <w:rFonts w:hint="eastAsia"/>
                <w:sz w:val="20"/>
                <w:szCs w:val="20"/>
              </w:rPr>
              <w:t>遵守国家和地方各项法律法规，履行合规义务</w:t>
            </w:r>
            <w:r>
              <w:rPr>
                <w:rFonts w:hint="eastAsia"/>
                <w:sz w:val="20"/>
                <w:szCs w:val="20"/>
                <w:lang w:eastAsia="zh-CN"/>
              </w:rPr>
              <w:t>；</w:t>
            </w:r>
            <w:r>
              <w:rPr>
                <w:rFonts w:hint="eastAsia"/>
                <w:sz w:val="20"/>
                <w:szCs w:val="20"/>
              </w:rPr>
              <w:t>以下行为满足相关方需求和期望：持续改进管理体系过程，提升</w:t>
            </w:r>
            <w:r>
              <w:rPr>
                <w:rFonts w:hint="eastAsia"/>
                <w:sz w:val="20"/>
                <w:szCs w:val="20"/>
                <w:lang w:val="en-US" w:eastAsia="zh-CN"/>
              </w:rPr>
              <w:t>管理</w:t>
            </w:r>
            <w:r>
              <w:rPr>
                <w:rFonts w:hint="eastAsia"/>
                <w:sz w:val="20"/>
                <w:szCs w:val="20"/>
              </w:rPr>
              <w:t>绩效</w:t>
            </w:r>
            <w:r>
              <w:rPr>
                <w:rFonts w:hint="eastAsia"/>
                <w:sz w:val="20"/>
                <w:szCs w:val="20"/>
                <w:lang w:val="en-US" w:eastAsia="zh-CN"/>
              </w:rPr>
              <w:t>等，</w:t>
            </w:r>
            <w:r>
              <w:rPr>
                <w:rFonts w:hint="eastAsia"/>
                <w:sz w:val="20"/>
                <w:szCs w:val="20"/>
              </w:rPr>
              <w:t>公司管理层及相关部门将持续关注相关方需求的变化，必要时通过评估风险和机遇，调整管理体系目标和指标或变更管理过程以适应这些变化或实现改进</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cs="宋体"/>
                <w:sz w:val="20"/>
                <w:szCs w:val="20"/>
              </w:rPr>
            </w:pPr>
            <w:r>
              <w:rPr>
                <w:sz w:val="20"/>
                <w:szCs w:val="20"/>
              </w:rPr>
              <w:t>1.</w:t>
            </w:r>
            <w:r>
              <w:rPr>
                <w:rFonts w:hint="eastAsia" w:cs="宋体"/>
                <w:sz w:val="20"/>
                <w:szCs w:val="20"/>
              </w:rPr>
              <w:t>管理方针：</w:t>
            </w:r>
          </w:p>
          <w:p>
            <w:pPr>
              <w:rPr>
                <w:rFonts w:hint="eastAsia"/>
                <w:sz w:val="21"/>
                <w:szCs w:val="21"/>
              </w:rPr>
            </w:pPr>
            <w:r>
              <w:rPr>
                <w:rFonts w:hint="eastAsia"/>
                <w:sz w:val="21"/>
                <w:szCs w:val="21"/>
              </w:rPr>
              <w:t>创新求精，不断提升产品与服务质量，促进快速发展</w:t>
            </w:r>
          </w:p>
          <w:p>
            <w:pPr>
              <w:rPr>
                <w:rFonts w:hint="eastAsia"/>
                <w:sz w:val="21"/>
                <w:szCs w:val="21"/>
              </w:rPr>
            </w:pPr>
            <w:r>
              <w:rPr>
                <w:rFonts w:hint="eastAsia"/>
                <w:sz w:val="21"/>
                <w:szCs w:val="21"/>
              </w:rPr>
              <w:t>节能降耗，注重环境保护与污染预防，促进协调发展</w:t>
            </w:r>
          </w:p>
          <w:p>
            <w:pPr>
              <w:rPr>
                <w:rFonts w:hint="eastAsia"/>
                <w:sz w:val="21"/>
                <w:szCs w:val="21"/>
              </w:rPr>
            </w:pPr>
            <w:r>
              <w:rPr>
                <w:rFonts w:hint="eastAsia"/>
                <w:sz w:val="21"/>
                <w:szCs w:val="21"/>
              </w:rPr>
              <w:t>以人为本，确保职业健康与劳动安全，促进和谐发展</w:t>
            </w:r>
          </w:p>
          <w:p>
            <w:pPr>
              <w:rPr>
                <w:rFonts w:hint="eastAsia"/>
                <w:sz w:val="21"/>
                <w:szCs w:val="21"/>
              </w:rPr>
            </w:pPr>
            <w:r>
              <w:rPr>
                <w:rFonts w:hint="eastAsia"/>
                <w:sz w:val="21"/>
                <w:szCs w:val="21"/>
              </w:rPr>
              <w:t>守法诚信，坚持预防为主与持续改进，追求卓越绩效</w:t>
            </w:r>
          </w:p>
          <w:p>
            <w:pPr>
              <w:keepNext w:val="0"/>
              <w:keepLines w:val="0"/>
              <w:pageBreakBefore w:val="0"/>
              <w:kinsoku/>
              <w:wordWrap/>
              <w:overflowPunct/>
              <w:topLinePunct w:val="0"/>
              <w:autoSpaceDE/>
              <w:autoSpaceDN/>
              <w:bidi w:val="0"/>
              <w:adjustRightInd/>
              <w:snapToGrid/>
              <w:spacing w:line="320" w:lineRule="exact"/>
              <w:textAlignment w:val="auto"/>
              <w:rPr>
                <w:sz w:val="20"/>
                <w:szCs w:val="20"/>
              </w:rPr>
            </w:pPr>
            <w:r>
              <w:rPr>
                <w:sz w:val="20"/>
                <w:szCs w:val="20"/>
              </w:rPr>
              <w:t>2.</w:t>
            </w:r>
            <w:r>
              <w:rPr>
                <w:rFonts w:hint="eastAsia" w:cs="宋体"/>
                <w:sz w:val="20"/>
                <w:szCs w:val="20"/>
              </w:rPr>
              <w:t>管理方针与企业的经营宗旨相适应，协调；</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sz w:val="20"/>
                <w:szCs w:val="20"/>
              </w:rPr>
              <w:t>3.</w:t>
            </w:r>
            <w:r>
              <w:rPr>
                <w:rFonts w:hint="eastAsia" w:cs="宋体"/>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eastAsia="宋体"/>
                <w:b/>
                <w:color w:val="000000" w:themeColor="text1"/>
                <w:sz w:val="20"/>
                <w:szCs w:val="20"/>
                <w:lang w:eastAsia="zh-CN"/>
              </w:rPr>
            </w:pPr>
            <w:r>
              <w:rPr>
                <w:rFonts w:hint="eastAsia"/>
                <w:sz w:val="20"/>
                <w:szCs w:val="20"/>
              </w:rPr>
              <w:t>公司</w:t>
            </w:r>
            <w:r>
              <w:rPr>
                <w:rFonts w:hint="eastAsia"/>
                <w:sz w:val="20"/>
                <w:szCs w:val="20"/>
                <w:lang w:val="en-US" w:eastAsia="zh-CN"/>
              </w:rPr>
              <w:t>编制</w:t>
            </w:r>
            <w:r>
              <w:rPr>
                <w:rFonts w:hint="eastAsia"/>
                <w:sz w:val="20"/>
                <w:szCs w:val="20"/>
              </w:rPr>
              <w:t>《</w:t>
            </w:r>
            <w:r>
              <w:rPr>
                <w:rFonts w:ascii="宋体" w:hAnsi="宋体"/>
                <w:kern w:val="0"/>
                <w:sz w:val="20"/>
                <w:szCs w:val="20"/>
              </w:rPr>
              <w:t>应对风险和机遇的措施表</w:t>
            </w:r>
            <w:r>
              <w:rPr>
                <w:rFonts w:hint="eastAsia"/>
                <w:sz w:val="20"/>
                <w:szCs w:val="20"/>
              </w:rPr>
              <w:t>》，公司</w:t>
            </w:r>
            <w:r>
              <w:rPr>
                <w:rFonts w:hint="eastAsia"/>
                <w:sz w:val="20"/>
                <w:szCs w:val="20"/>
                <w:lang w:val="en-US" w:eastAsia="zh-CN"/>
              </w:rPr>
              <w:t>分别从顾客要求、公司内部、外部供方等方面</w:t>
            </w:r>
            <w:r>
              <w:rPr>
                <w:rFonts w:hint="eastAsia"/>
                <w:sz w:val="20"/>
                <w:szCs w:val="20"/>
              </w:rPr>
              <w:t>识别了必要的风险和机遇，如：方针和目标变更的需求，产品标准变更</w:t>
            </w:r>
            <w:r>
              <w:rPr>
                <w:rFonts w:hint="eastAsia"/>
                <w:sz w:val="20"/>
                <w:szCs w:val="20"/>
                <w:lang w:eastAsia="zh-CN"/>
              </w:rPr>
              <w:t>、</w:t>
            </w:r>
            <w:r>
              <w:rPr>
                <w:rFonts w:hint="eastAsia"/>
                <w:sz w:val="20"/>
                <w:szCs w:val="20"/>
                <w:lang w:val="en-US" w:eastAsia="zh-CN"/>
              </w:rPr>
              <w:t>法律法规变更、外部环境变化</w:t>
            </w:r>
            <w:r>
              <w:rPr>
                <w:rFonts w:hint="eastAsia"/>
                <w:sz w:val="20"/>
                <w:szCs w:val="20"/>
              </w:rPr>
              <w:t>等风险，制定了相应的应对措施，制定了负责的部门和具体的实施方案，需要的资金和日程安排</w:t>
            </w:r>
            <w:r>
              <w:rPr>
                <w:rFonts w:hint="eastAsia"/>
                <w:sz w:val="20"/>
                <w:szCs w:val="20"/>
                <w:lang w:val="en-US" w:eastAsia="zh-CN"/>
              </w:rPr>
              <w:t>等，</w:t>
            </w:r>
            <w:r>
              <w:rPr>
                <w:rFonts w:hint="eastAsia"/>
                <w:sz w:val="20"/>
                <w:szCs w:val="20"/>
              </w:rPr>
              <w:t>如针对</w:t>
            </w:r>
            <w:r>
              <w:rPr>
                <w:rFonts w:hint="eastAsia"/>
                <w:sz w:val="20"/>
                <w:szCs w:val="20"/>
                <w:lang w:val="en-US" w:eastAsia="zh-CN"/>
              </w:rPr>
              <w:t>外包环境的变化</w:t>
            </w:r>
            <w:r>
              <w:rPr>
                <w:rFonts w:hint="eastAsia"/>
                <w:sz w:val="20"/>
                <w:szCs w:val="20"/>
              </w:rPr>
              <w:t>，由</w:t>
            </w:r>
            <w:r>
              <w:rPr>
                <w:rFonts w:hint="eastAsia"/>
                <w:sz w:val="20"/>
                <w:szCs w:val="20"/>
                <w:lang w:val="en-US" w:eastAsia="zh-CN"/>
              </w:rPr>
              <w:t>办公室</w:t>
            </w:r>
            <w:r>
              <w:rPr>
                <w:rFonts w:hint="eastAsia"/>
                <w:sz w:val="20"/>
                <w:szCs w:val="20"/>
                <w:lang w:eastAsia="zh-CN"/>
              </w:rPr>
              <w:t>紧密</w:t>
            </w:r>
            <w:r>
              <w:rPr>
                <w:rFonts w:hint="eastAsia"/>
                <w:sz w:val="20"/>
                <w:szCs w:val="20"/>
                <w:lang w:val="en-US" w:eastAsia="zh-CN"/>
              </w:rPr>
              <w:t>关注</w:t>
            </w:r>
            <w:r>
              <w:rPr>
                <w:rFonts w:hint="eastAsia"/>
                <w:sz w:val="20"/>
                <w:szCs w:val="20"/>
              </w:rPr>
              <w:t>，</w:t>
            </w:r>
            <w:r>
              <w:rPr>
                <w:rFonts w:hint="eastAsia"/>
                <w:sz w:val="20"/>
                <w:szCs w:val="20"/>
                <w:lang w:val="en-US" w:eastAsia="zh-CN"/>
              </w:rPr>
              <w:t>如此次新冠疫情，制定了相应的复工复产措施</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autoSpaceDE/>
              <w:autoSpaceDN/>
              <w:bidi w:val="0"/>
              <w:adjustRightInd/>
              <w:snapToGrid/>
              <w:spacing w:line="320" w:lineRule="exact"/>
              <w:ind w:left="201" w:hanging="201" w:hangingChars="100"/>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pacing w:val="-8"/>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ascii="宋体" w:hAnsi="宋体"/>
                <w:sz w:val="20"/>
                <w:szCs w:val="20"/>
                <w:lang w:val="en-US" w:eastAsia="zh-CN"/>
              </w:rPr>
              <w:t>办公室组织各部门根据场所、活动所涉及的环境因素进行识别，并评价出重要环境因素，提供环境因素评价记录，目前环境因素识别基本完整，评价的重要环境因素为</w:t>
            </w:r>
            <w:r>
              <w:rPr>
                <w:rFonts w:hint="eastAsia"/>
                <w:color w:val="auto"/>
                <w:u w:val="none" w:color="auto"/>
                <w:lang w:val="en-US" w:eastAsia="zh-CN"/>
              </w:rPr>
              <w:t>原材料消耗、</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噪声排放</w:t>
            </w:r>
            <w:r>
              <w:rPr>
                <w:rFonts w:hint="eastAsia" w:ascii="宋体" w:hAnsi="宋体" w:eastAsia="宋体" w:cs="宋体"/>
                <w:color w:val="auto"/>
                <w:kern w:val="2"/>
                <w:sz w:val="20"/>
                <w:szCs w:val="20"/>
                <w:lang w:val="en-GB"/>
              </w:rPr>
              <w:t>，</w:t>
            </w:r>
            <w:r>
              <w:rPr>
                <w:rFonts w:hint="eastAsia" w:ascii="宋体" w:hAnsi="宋体" w:eastAsia="宋体" w:cs="宋体"/>
                <w:color w:val="auto"/>
                <w:kern w:val="2"/>
                <w:sz w:val="20"/>
                <w:szCs w:val="20"/>
                <w:lang w:val="en-GB" w:eastAsia="zh-CN"/>
              </w:rPr>
              <w:t>环境因素识别评价</w:t>
            </w:r>
            <w:r>
              <w:rPr>
                <w:rFonts w:hint="eastAsia" w:ascii="宋体" w:hAnsi="宋体" w:eastAsia="宋体" w:cs="宋体"/>
                <w:color w:val="auto"/>
                <w:kern w:val="2"/>
                <w:sz w:val="20"/>
                <w:szCs w:val="20"/>
                <w:lang w:val="en-GB"/>
              </w:rPr>
              <w:t>符合要求</w:t>
            </w:r>
            <w:r>
              <w:rPr>
                <w:rFonts w:hint="eastAsia" w:ascii="宋体" w:hAnsi="宋体" w:cs="宋体"/>
                <w:color w:val="auto"/>
                <w:kern w:val="2"/>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000000" w:themeColor="text1"/>
                <w:spacing w:val="-8"/>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r>
              <w:rPr>
                <w:rFonts w:hint="eastAsia" w:ascii="宋体" w:hAnsi="宋体"/>
                <w:b/>
                <w:color w:val="000000" w:themeColor="text1"/>
                <w:sz w:val="20"/>
                <w:szCs w:val="20"/>
              </w:rPr>
              <w:t>（</w:t>
            </w:r>
            <w:r>
              <w:rPr>
                <w:rFonts w:hint="eastAsia" w:ascii="宋体" w:hAnsi="宋体"/>
                <w:b/>
                <w:color w:val="000000" w:themeColor="text1"/>
                <w:spacing w:val="-8"/>
                <w:sz w:val="20"/>
                <w:szCs w:val="20"/>
              </w:rPr>
              <w:t>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0"/>
                <w:szCs w:val="20"/>
                <w:lang w:val="en-US" w:eastAsia="zh-CN"/>
              </w:rPr>
              <w:t>办公室组织各部门根据场所、活动所涉及的危险源进行识别，并评价出重大危险源，提供重大危险源评价记录，目前危险源识别基本完整，评价的</w:t>
            </w:r>
            <w:r>
              <w:rPr>
                <w:rFonts w:hint="eastAsia"/>
                <w:sz w:val="20"/>
                <w:szCs w:val="20"/>
              </w:rPr>
              <w:t>不可接受风险</w:t>
            </w:r>
            <w:r>
              <w:rPr>
                <w:rFonts w:hint="eastAsia"/>
                <w:sz w:val="20"/>
                <w:szCs w:val="20"/>
                <w:lang w:eastAsia="zh-CN"/>
              </w:rPr>
              <w:t>为</w:t>
            </w:r>
            <w:r>
              <w:rPr>
                <w:rFonts w:hint="eastAsia"/>
                <w:u w:val="none" w:color="auto"/>
              </w:rPr>
              <w:t>火灾</w:t>
            </w:r>
            <w:r>
              <w:rPr>
                <w:rFonts w:hint="eastAsia"/>
                <w:u w:val="none" w:color="auto"/>
                <w:lang w:eastAsia="zh-CN"/>
              </w:rPr>
              <w:t>、</w:t>
            </w:r>
            <w:r>
              <w:rPr>
                <w:rFonts w:hint="eastAsia"/>
                <w:u w:val="none" w:color="auto"/>
                <w:lang w:val="en-US" w:eastAsia="zh-CN"/>
              </w:rPr>
              <w:t>触电、机械伤害、物体打击、意外伤害</w:t>
            </w:r>
            <w:r>
              <w:rPr>
                <w:rFonts w:hint="eastAsia" w:ascii="宋体" w:hAnsi="宋体" w:eastAsia="宋体" w:cs="宋体"/>
                <w:color w:val="auto"/>
                <w:kern w:val="2"/>
                <w:sz w:val="20"/>
                <w:szCs w:val="20"/>
                <w:lang w:val="en-GB"/>
              </w:rPr>
              <w:t>，</w:t>
            </w:r>
            <w:r>
              <w:rPr>
                <w:rFonts w:hint="eastAsia" w:ascii="宋体" w:hAnsi="宋体" w:eastAsia="宋体" w:cs="宋体"/>
                <w:color w:val="auto"/>
                <w:kern w:val="2"/>
                <w:sz w:val="20"/>
                <w:szCs w:val="20"/>
                <w:lang w:val="en-US" w:eastAsia="zh-CN"/>
              </w:rPr>
              <w:t>危险源</w:t>
            </w:r>
            <w:r>
              <w:rPr>
                <w:rFonts w:hint="eastAsia" w:ascii="宋体" w:hAnsi="宋体" w:eastAsia="宋体" w:cs="宋体"/>
                <w:color w:val="auto"/>
                <w:kern w:val="2"/>
                <w:sz w:val="20"/>
                <w:szCs w:val="20"/>
                <w:lang w:val="en-GB" w:eastAsia="zh-CN"/>
              </w:rPr>
              <w:t>识别评价</w:t>
            </w:r>
            <w:r>
              <w:rPr>
                <w:rFonts w:hint="eastAsia" w:ascii="宋体" w:hAnsi="宋体" w:eastAsia="宋体" w:cs="宋体"/>
                <w:color w:val="auto"/>
                <w:kern w:val="2"/>
                <w:sz w:val="20"/>
                <w:szCs w:val="20"/>
                <w:lang w:val="en-GB"/>
              </w:rPr>
              <w:t>符合要求</w:t>
            </w:r>
            <w:r>
              <w:rPr>
                <w:rFonts w:hint="eastAsia" w:ascii="宋体" w:hAnsi="宋体" w:cs="宋体"/>
                <w:color w:val="auto"/>
                <w:kern w:val="2"/>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 xml:space="preserve">. </w:t>
            </w:r>
            <w:r>
              <w:rPr>
                <w:rFonts w:hint="eastAsia" w:ascii="宋体" w:hAnsi="宋体"/>
                <w:b/>
                <w:color w:val="000000" w:themeColor="text1"/>
                <w:spacing w:val="-4"/>
                <w:sz w:val="20"/>
                <w:szCs w:val="20"/>
              </w:rPr>
              <w:t>法律法规及其他要求</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rFonts w:ascii="宋体" w:hAnsi="宋体"/>
                <w:b w:val="0"/>
                <w:bCs/>
                <w:color w:val="000000" w:themeColor="text1"/>
                <w:sz w:val="20"/>
                <w:szCs w:val="20"/>
                <w:u w:val="single"/>
              </w:rPr>
            </w:pPr>
            <w:r>
              <w:rPr>
                <w:rFonts w:hint="eastAsia" w:ascii="宋体" w:hAnsi="宋体"/>
                <w:b w:val="0"/>
                <w:bCs/>
                <w:color w:val="000000" w:themeColor="text1"/>
                <w:sz w:val="20"/>
                <w:szCs w:val="20"/>
              </w:rPr>
              <w:t>获取法律法规项，</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法律法规获取充分，□法律法规获取有遗漏，缺少</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rFonts w:ascii="宋体" w:hAnsi="宋体"/>
                <w:b w:val="0"/>
                <w:bCs/>
                <w:color w:val="000000" w:themeColor="text1"/>
                <w:sz w:val="20"/>
                <w:szCs w:val="20"/>
              </w:rPr>
            </w:pPr>
            <w:r>
              <w:rPr>
                <w:rFonts w:hint="eastAsia" w:ascii="宋体" w:hAnsi="宋体"/>
                <w:b w:val="0"/>
                <w:bCs/>
                <w:color w:val="000000" w:themeColor="text1"/>
                <w:sz w:val="20"/>
                <w:szCs w:val="20"/>
              </w:rPr>
              <w:t>结合公司的</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产品/服务</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环境因素</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危险源，</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确定 □未确定法律法规要求的具体条款，</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rFonts w:ascii="宋体" w:hAnsi="宋体"/>
                <w:b w:val="0"/>
                <w:bCs/>
                <w:color w:val="000000" w:themeColor="text1"/>
                <w:sz w:val="20"/>
                <w:szCs w:val="20"/>
              </w:rPr>
            </w:pPr>
            <w:r>
              <w:rPr>
                <w:rFonts w:hint="eastAsia" w:ascii="宋体" w:hAnsi="宋体"/>
                <w:b w:val="0"/>
                <w:bCs/>
                <w:color w:val="000000" w:themeColor="text1"/>
                <w:sz w:val="20"/>
                <w:szCs w:val="20"/>
              </w:rPr>
              <w:t>法律法规的宣传方式：</w:t>
            </w:r>
            <w:r>
              <w:rPr>
                <w:rFonts w:hint="eastAsia" w:ascii="宋体" w:hAnsi="宋体"/>
                <w:b w:val="0"/>
                <w:bCs/>
                <w:color w:val="000000" w:themeColor="text1"/>
                <w:sz w:val="20"/>
                <w:szCs w:val="20"/>
                <w:lang w:val="en-US" w:eastAsia="zh-CN"/>
              </w:rPr>
              <w:t>培训</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b/>
                <w:color w:val="000000" w:themeColor="text1"/>
                <w:sz w:val="20"/>
                <w:szCs w:val="20"/>
              </w:rPr>
            </w:pPr>
            <w:r>
              <w:rPr>
                <w:rFonts w:hint="eastAsia" w:ascii="宋体" w:hAnsi="宋体"/>
                <w:b w:val="0"/>
                <w:bCs/>
                <w:color w:val="000000" w:themeColor="text1"/>
                <w:sz w:val="20"/>
                <w:szCs w:val="20"/>
              </w:rPr>
              <w:t>法律法规要求及时更新了</w:t>
            </w:r>
            <w:r>
              <w:rPr>
                <w:rFonts w:hint="eastAsia" w:ascii="宋体" w:hAnsi="宋体"/>
                <w:b w:val="0"/>
                <w:bCs/>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9</w:t>
            </w:r>
            <w:r>
              <w:rPr>
                <w:rFonts w:hint="eastAsia"/>
                <w:b/>
                <w:color w:val="000000" w:themeColor="text1"/>
                <w:sz w:val="20"/>
                <w:szCs w:val="20"/>
              </w:rPr>
              <w:t xml:space="preserve">. </w:t>
            </w:r>
            <w:r>
              <w:rPr>
                <w:rFonts w:hint="eastAsia" w:ascii="宋体" w:hAnsi="宋体"/>
                <w:b/>
                <w:color w:val="000000" w:themeColor="text1"/>
                <w:sz w:val="20"/>
                <w:szCs w:val="20"/>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sz w:val="21"/>
                <w:szCs w:val="21"/>
              </w:rPr>
            </w:pPr>
            <w:r>
              <w:rPr>
                <w:rFonts w:hint="eastAsia" w:cs="宋体"/>
                <w:sz w:val="20"/>
                <w:szCs w:val="20"/>
              </w:rPr>
              <w:t>公司</w:t>
            </w:r>
            <w:r>
              <w:rPr>
                <w:rFonts w:hint="eastAsia"/>
                <w:sz w:val="21"/>
                <w:szCs w:val="21"/>
              </w:rPr>
              <w:t>环境目标</w:t>
            </w:r>
          </w:p>
          <w:p>
            <w:pPr>
              <w:rPr>
                <w:rFonts w:hint="eastAsia"/>
                <w:sz w:val="21"/>
                <w:szCs w:val="21"/>
              </w:rPr>
            </w:pPr>
            <w:r>
              <w:rPr>
                <w:rFonts w:hint="eastAsia"/>
                <w:sz w:val="21"/>
                <w:szCs w:val="21"/>
              </w:rPr>
              <w:t>1.废弃物100%实现分类存放，合理处置。</w:t>
            </w:r>
          </w:p>
          <w:p>
            <w:pPr>
              <w:rPr>
                <w:rFonts w:hint="eastAsia"/>
                <w:sz w:val="21"/>
                <w:szCs w:val="21"/>
              </w:rPr>
            </w:pPr>
            <w:r>
              <w:rPr>
                <w:rFonts w:hint="eastAsia"/>
                <w:sz w:val="21"/>
                <w:szCs w:val="21"/>
              </w:rPr>
              <w:t>2.杜绝发生重大污染事故。</w:t>
            </w:r>
          </w:p>
          <w:p>
            <w:pPr>
              <w:rPr>
                <w:rFonts w:hint="eastAsia"/>
                <w:sz w:val="21"/>
                <w:szCs w:val="21"/>
              </w:rPr>
            </w:pPr>
            <w:r>
              <w:rPr>
                <w:rFonts w:hint="eastAsia"/>
                <w:sz w:val="21"/>
                <w:szCs w:val="21"/>
              </w:rPr>
              <w:t>3.厂界噪声执行《工业企业厂界环境噪声标准》(GB12348-2008)II类标准3类标准：昼间65dB（A），夜间55dB（A）。</w:t>
            </w:r>
          </w:p>
          <w:p>
            <w:pPr>
              <w:rPr>
                <w:rFonts w:hint="eastAsia"/>
                <w:sz w:val="21"/>
                <w:szCs w:val="21"/>
              </w:rPr>
            </w:pPr>
            <w:r>
              <w:rPr>
                <w:rFonts w:hint="eastAsia"/>
                <w:sz w:val="21"/>
                <w:szCs w:val="21"/>
              </w:rPr>
              <w:t>安全目标</w:t>
            </w:r>
          </w:p>
          <w:p>
            <w:pPr>
              <w:rPr>
                <w:rFonts w:hint="eastAsia"/>
                <w:sz w:val="21"/>
                <w:szCs w:val="21"/>
              </w:rPr>
            </w:pPr>
            <w:r>
              <w:rPr>
                <w:rFonts w:hint="eastAsia"/>
                <w:sz w:val="21"/>
                <w:szCs w:val="21"/>
              </w:rPr>
              <w:t>1.杜绝发生重伤、死亡事故。</w:t>
            </w:r>
          </w:p>
          <w:p>
            <w:pPr>
              <w:rPr>
                <w:rFonts w:hint="eastAsia"/>
                <w:sz w:val="21"/>
                <w:szCs w:val="21"/>
              </w:rPr>
            </w:pPr>
            <w:r>
              <w:rPr>
                <w:rFonts w:hint="eastAsia"/>
                <w:sz w:val="21"/>
                <w:szCs w:val="21"/>
              </w:rPr>
              <w:t>2.轻伤每年不超过3起。</w:t>
            </w:r>
          </w:p>
          <w:p>
            <w:pPr>
              <w:rPr>
                <w:rFonts w:hint="eastAsia" w:cs="宋体"/>
                <w:sz w:val="20"/>
                <w:szCs w:val="20"/>
              </w:rPr>
            </w:pPr>
            <w:r>
              <w:rPr>
                <w:rFonts w:hint="eastAsia"/>
                <w:sz w:val="21"/>
                <w:szCs w:val="21"/>
              </w:rPr>
              <w:t>3.火灾事故发生率为0。</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cs="宋体"/>
                <w:color w:val="auto"/>
                <w:sz w:val="20"/>
                <w:szCs w:val="20"/>
              </w:rPr>
              <w:t>提供了文件化可分解的目标</w:t>
            </w:r>
            <w:r>
              <w:rPr>
                <w:rFonts w:hint="eastAsia" w:ascii="宋体" w:cs="宋体"/>
                <w:color w:val="auto"/>
                <w:sz w:val="20"/>
                <w:szCs w:val="20"/>
                <w:lang w:eastAsia="zh-CN"/>
              </w:rPr>
              <w:t>、指标</w:t>
            </w:r>
            <w:r>
              <w:rPr>
                <w:rFonts w:hint="eastAsia" w:ascii="宋体" w:cs="宋体"/>
                <w:color w:val="auto"/>
                <w:sz w:val="20"/>
                <w:szCs w:val="20"/>
              </w:rPr>
              <w:t>，经查问分解到各部门，经查阅建立的</w:t>
            </w:r>
            <w:r>
              <w:rPr>
                <w:rFonts w:hint="eastAsia" w:ascii="宋体" w:cs="宋体"/>
                <w:color w:val="auto"/>
                <w:sz w:val="20"/>
                <w:szCs w:val="20"/>
                <w:lang w:eastAsia="zh-CN"/>
              </w:rPr>
              <w:t>管理</w:t>
            </w:r>
            <w:r>
              <w:rPr>
                <w:rFonts w:hint="eastAsia" w:ascii="宋体" w:cs="宋体"/>
                <w:color w:val="auto"/>
                <w:sz w:val="20"/>
                <w:szCs w:val="20"/>
              </w:rPr>
              <w:t>目标符合标准要求，在方针的框架下展开，每</w:t>
            </w:r>
            <w:r>
              <w:rPr>
                <w:rFonts w:hint="eastAsia" w:ascii="宋体" w:cs="宋体"/>
                <w:color w:val="auto"/>
                <w:sz w:val="20"/>
                <w:szCs w:val="20"/>
                <w:lang w:val="en-US" w:eastAsia="zh-CN"/>
              </w:rPr>
              <w:t>季度</w:t>
            </w:r>
            <w:r>
              <w:rPr>
                <w:rFonts w:hint="eastAsia" w:ascii="宋体" w:cs="宋体"/>
                <w:color w:val="auto"/>
                <w:sz w:val="20"/>
                <w:szCs w:val="20"/>
              </w:rPr>
              <w:t>考核一次，</w:t>
            </w:r>
            <w:r>
              <w:rPr>
                <w:rFonts w:hint="eastAsia" w:ascii="宋体" w:cs="宋体"/>
                <w:color w:val="auto"/>
                <w:sz w:val="20"/>
                <w:szCs w:val="20"/>
                <w:lang w:val="en-US" w:eastAsia="zh-CN"/>
              </w:rPr>
              <w:t>查看</w:t>
            </w:r>
            <w:r>
              <w:rPr>
                <w:rFonts w:hint="eastAsia"/>
                <w:sz w:val="20"/>
                <w:szCs w:val="20"/>
                <w:lang w:val="en-US" w:eastAsia="zh-CN"/>
              </w:rPr>
              <w:t>2020年3季度目标考核记录</w:t>
            </w:r>
            <w:r>
              <w:rPr>
                <w:rFonts w:hint="eastAsia" w:ascii="宋体" w:cs="宋体"/>
                <w:color w:val="auto"/>
                <w:sz w:val="20"/>
                <w:szCs w:val="20"/>
              </w:rPr>
              <w:t>，</w:t>
            </w:r>
            <w:r>
              <w:rPr>
                <w:rFonts w:hint="eastAsia" w:ascii="宋体" w:cs="宋体"/>
                <w:color w:val="auto"/>
                <w:sz w:val="20"/>
                <w:szCs w:val="20"/>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Times New Roman" w:hAnsi="Times New Roman" w:cs="宋体"/>
                <w:sz w:val="20"/>
                <w:szCs w:val="20"/>
              </w:rPr>
              <w:t>管理体系文件由</w:t>
            </w:r>
            <w:r>
              <w:rPr>
                <w:rFonts w:hint="eastAsia" w:cs="宋体"/>
                <w:sz w:val="20"/>
                <w:szCs w:val="20"/>
                <w:lang w:val="en-US" w:eastAsia="zh-CN"/>
              </w:rPr>
              <w:t>办公室</w:t>
            </w:r>
            <w:r>
              <w:rPr>
                <w:rFonts w:hint="eastAsia" w:ascii="Times New Roman" w:hAnsi="Times New Roman" w:cs="宋体"/>
                <w:sz w:val="20"/>
                <w:szCs w:val="20"/>
              </w:rPr>
              <w:t>组织编写，总经理批准发布实施，</w:t>
            </w:r>
            <w:r>
              <w:rPr>
                <w:rFonts w:hint="eastAsia" w:cs="宋体"/>
                <w:sz w:val="20"/>
                <w:szCs w:val="20"/>
                <w:lang w:val="en-US" w:eastAsia="zh-CN"/>
              </w:rPr>
              <w:t>办公室</w:t>
            </w:r>
            <w:r>
              <w:rPr>
                <w:rFonts w:hint="eastAsia" w:ascii="Times New Roman" w:hAnsi="Times New Roman" w:cs="宋体"/>
                <w:sz w:val="20"/>
                <w:szCs w:val="20"/>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sz w:val="20"/>
                <w:szCs w:val="20"/>
                <w:lang w:val="en-US" w:eastAsia="zh-CN"/>
              </w:rPr>
              <w:t>办公室</w:t>
            </w:r>
            <w:r>
              <w:rPr>
                <w:rFonts w:hint="eastAsia" w:ascii="Times New Roman" w:hAnsi="Times New Roman" w:cs="宋体"/>
                <w:sz w:val="20"/>
                <w:szCs w:val="20"/>
              </w:rPr>
              <w:t>根据管理</w:t>
            </w:r>
            <w:r>
              <w:rPr>
                <w:rFonts w:hint="eastAsia" w:ascii="Times New Roman" w:hAnsi="Times New Roman" w:cs="宋体"/>
                <w:sz w:val="20"/>
                <w:szCs w:val="20"/>
                <w:lang w:eastAsia="zh-CN"/>
              </w:rPr>
              <w:t>体</w:t>
            </w:r>
            <w:r>
              <w:rPr>
                <w:rFonts w:hint="eastAsia" w:ascii="Times New Roman" w:hAnsi="Times New Roman" w:cs="宋体"/>
                <w:sz w:val="20"/>
                <w:szCs w:val="20"/>
              </w:rPr>
              <w:t>系要求设计了空白表格，按照需求发放，由使用人员填写记录并保存，</w:t>
            </w:r>
            <w:r>
              <w:rPr>
                <w:rFonts w:hint="eastAsia" w:cs="宋体"/>
                <w:sz w:val="20"/>
                <w:szCs w:val="20"/>
                <w:lang w:val="en-US" w:eastAsia="zh-CN"/>
              </w:rPr>
              <w:t>办公室</w:t>
            </w:r>
            <w:r>
              <w:rPr>
                <w:rFonts w:hint="eastAsia" w:ascii="Times New Roman" w:hAnsi="Times New Roman" w:cs="宋体"/>
                <w:sz w:val="20"/>
                <w:szCs w:val="20"/>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r>
              <w:rPr>
                <w:b/>
                <w:color w:val="000000" w:themeColor="text1"/>
                <w:sz w:val="20"/>
                <w:szCs w:val="20"/>
              </w:rPr>
              <w:br w:type="page"/>
            </w:r>
            <w:r>
              <w:rPr>
                <w:rFonts w:hint="eastAsia" w:ascii="宋体" w:hAnsi="宋体"/>
                <w:b/>
                <w:color w:val="000000" w:themeColor="text1"/>
                <w:sz w:val="20"/>
                <w:szCs w:val="20"/>
              </w:rPr>
              <w:t>(二)资源评价</w:t>
            </w: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eastAsia="zh-CN"/>
              </w:rPr>
            </w:pPr>
            <w:r>
              <w:rPr>
                <w:rFonts w:hint="eastAsia"/>
                <w:sz w:val="20"/>
                <w:szCs w:val="20"/>
              </w:rPr>
              <w:t>公司共有员工</w:t>
            </w:r>
            <w:r>
              <w:rPr>
                <w:rFonts w:hint="eastAsia"/>
                <w:sz w:val="20"/>
                <w:szCs w:val="20"/>
                <w:lang w:val="en-US" w:eastAsia="zh-CN"/>
              </w:rPr>
              <w:t>24</w:t>
            </w:r>
            <w:r>
              <w:rPr>
                <w:rFonts w:hint="eastAsia"/>
                <w:sz w:val="20"/>
                <w:szCs w:val="20"/>
              </w:rPr>
              <w:t>人，其中管理人员</w:t>
            </w:r>
            <w:r>
              <w:rPr>
                <w:rFonts w:hint="eastAsia"/>
                <w:sz w:val="20"/>
                <w:szCs w:val="20"/>
                <w:lang w:val="en-US" w:eastAsia="zh-CN"/>
              </w:rPr>
              <w:t>5</w:t>
            </w:r>
            <w:r>
              <w:rPr>
                <w:rFonts w:hint="eastAsia"/>
                <w:sz w:val="20"/>
                <w:szCs w:val="20"/>
              </w:rPr>
              <w:t>人，满足</w:t>
            </w:r>
            <w:r>
              <w:rPr>
                <w:rFonts w:hint="eastAsia"/>
                <w:sz w:val="20"/>
                <w:szCs w:val="20"/>
                <w:lang w:val="en-US" w:eastAsia="zh-CN"/>
              </w:rPr>
              <w:t>生产服务</w:t>
            </w:r>
            <w:r>
              <w:rPr>
                <w:rFonts w:hint="eastAsia"/>
                <w:sz w:val="20"/>
                <w:szCs w:val="20"/>
              </w:rPr>
              <w:t>要求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val="en-US" w:eastAsia="zh-CN"/>
              </w:rPr>
            </w:pPr>
            <w:r>
              <w:rPr>
                <w:rFonts w:hint="eastAsia"/>
                <w:sz w:val="20"/>
                <w:szCs w:val="20"/>
              </w:rPr>
              <w:t>配备有</w:t>
            </w:r>
            <w:r>
              <w:rPr>
                <w:rFonts w:hint="eastAsia"/>
                <w:sz w:val="20"/>
                <w:szCs w:val="20"/>
                <w:lang w:eastAsia="zh-CN"/>
              </w:rPr>
              <w:t>办公室、</w:t>
            </w:r>
            <w:r>
              <w:rPr>
                <w:rFonts w:hint="eastAsia"/>
                <w:sz w:val="20"/>
                <w:szCs w:val="20"/>
                <w:lang w:val="en-US" w:eastAsia="zh-CN"/>
              </w:rPr>
              <w:t>车间</w:t>
            </w:r>
            <w:r>
              <w:rPr>
                <w:rFonts w:hint="eastAsia"/>
                <w:sz w:val="20"/>
                <w:szCs w:val="20"/>
              </w:rPr>
              <w:t>等基础设施，主要设</w:t>
            </w:r>
            <w:r>
              <w:rPr>
                <w:rFonts w:hint="eastAsia"/>
                <w:sz w:val="20"/>
                <w:szCs w:val="20"/>
                <w:lang w:eastAsia="zh-CN"/>
              </w:rPr>
              <w:t>施：</w:t>
            </w:r>
            <w:r>
              <w:rPr>
                <w:rFonts w:hint="eastAsia"/>
                <w:sz w:val="20"/>
                <w:szCs w:val="20"/>
                <w:lang w:val="en-US" w:eastAsia="zh-CN"/>
              </w:rPr>
              <w:t>锯床、攻丝机、扒皮机、</w:t>
            </w:r>
            <w:r>
              <w:rPr>
                <w:rFonts w:hint="eastAsia"/>
                <w:sz w:val="20"/>
                <w:szCs w:val="20"/>
                <w:lang w:eastAsia="zh-CN"/>
              </w:rPr>
              <w:t>汽车、</w:t>
            </w:r>
            <w:r>
              <w:rPr>
                <w:rFonts w:hint="eastAsia"/>
                <w:sz w:val="20"/>
                <w:szCs w:val="20"/>
                <w:lang w:val="en-US" w:eastAsia="zh-CN"/>
              </w:rPr>
              <w:t>办公设备</w:t>
            </w:r>
            <w:r>
              <w:rPr>
                <w:rFonts w:hint="eastAsia"/>
                <w:sz w:val="20"/>
                <w:szCs w:val="20"/>
              </w:rPr>
              <w:t>，满足</w:t>
            </w:r>
            <w:r>
              <w:rPr>
                <w:rFonts w:hint="eastAsia"/>
                <w:sz w:val="20"/>
                <w:szCs w:val="20"/>
                <w:lang w:val="en-US" w:eastAsia="zh-CN"/>
              </w:rPr>
              <w:t>生产销售</w:t>
            </w:r>
            <w:r>
              <w:rPr>
                <w:rFonts w:hint="eastAsia"/>
                <w:sz w:val="20"/>
                <w:szCs w:val="20"/>
                <w:lang w:eastAsia="zh-CN"/>
              </w:rPr>
              <w:t>服务</w:t>
            </w:r>
            <w:r>
              <w:rPr>
                <w:rFonts w:hint="eastAsia"/>
                <w:sz w:val="20"/>
                <w:szCs w:val="20"/>
              </w:rPr>
              <w:t>需求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val="en-US" w:eastAsia="zh-CN"/>
              </w:rPr>
            </w:pPr>
            <w:r>
              <w:rPr>
                <w:rFonts w:hint="eastAsia" w:ascii="宋体" w:hAnsi="宋体"/>
                <w:sz w:val="20"/>
                <w:szCs w:val="20"/>
                <w:lang w:eastAsia="zh-CN"/>
              </w:rPr>
              <w:t>公司</w:t>
            </w:r>
            <w:r>
              <w:rPr>
                <w:rFonts w:hint="default" w:ascii="Times New Roman" w:hAnsi="Times New Roman" w:cs="Times New Roman"/>
                <w:sz w:val="20"/>
                <w:szCs w:val="20"/>
              </w:rPr>
              <w:t>办公区域面积</w:t>
            </w:r>
            <w:r>
              <w:rPr>
                <w:rFonts w:hint="eastAsia" w:cs="Times New Roman"/>
                <w:sz w:val="20"/>
                <w:szCs w:val="20"/>
                <w:lang w:val="en-US" w:eastAsia="zh-CN"/>
              </w:rPr>
              <w:t>20</w:t>
            </w:r>
            <w:r>
              <w:rPr>
                <w:rFonts w:hint="default" w:ascii="Times New Roman" w:hAnsi="Times New Roman" w:cs="Times New Roman"/>
                <w:sz w:val="20"/>
                <w:szCs w:val="20"/>
              </w:rPr>
              <w:t>0平米、</w:t>
            </w:r>
            <w:r>
              <w:rPr>
                <w:rFonts w:hint="eastAsia" w:cs="Times New Roman"/>
                <w:sz w:val="20"/>
                <w:szCs w:val="20"/>
                <w:lang w:val="en-US" w:eastAsia="zh-CN"/>
              </w:rPr>
              <w:t>车间1000平米</w:t>
            </w:r>
            <w:r>
              <w:rPr>
                <w:rFonts w:hint="default" w:ascii="Times New Roman" w:hAnsi="Times New Roman" w:cs="Times New Roman"/>
                <w:sz w:val="20"/>
                <w:szCs w:val="20"/>
              </w:rPr>
              <w:t>，布局合理，场所卫生干净整洁，采光良好，有足够的光照度，设备布局合理，产品摆放整齐，</w:t>
            </w:r>
            <w:r>
              <w:rPr>
                <w:rFonts w:hint="default" w:ascii="Times New Roman" w:hAnsi="Times New Roman" w:cs="Times New Roman"/>
                <w:sz w:val="20"/>
                <w:szCs w:val="20"/>
                <w:lang w:eastAsia="zh-CN"/>
              </w:rPr>
              <w:t>办公、</w:t>
            </w:r>
            <w:r>
              <w:rPr>
                <w:rFonts w:hint="eastAsia" w:cs="Times New Roman"/>
                <w:sz w:val="20"/>
                <w:szCs w:val="20"/>
                <w:lang w:val="en-US" w:eastAsia="zh-CN"/>
              </w:rPr>
              <w:t>生产、仓储</w:t>
            </w:r>
            <w:r>
              <w:rPr>
                <w:rFonts w:hint="default" w:ascii="Times New Roman" w:hAnsi="Times New Roman" w:cs="Times New Roman"/>
                <w:sz w:val="20"/>
                <w:szCs w:val="20"/>
              </w:rPr>
              <w:t>环境较好</w:t>
            </w:r>
            <w:r>
              <w:rPr>
                <w:rFonts w:hint="eastAsia" w:ascii="宋体" w:hAnsi="宋体"/>
                <w:sz w:val="20"/>
                <w:szCs w:val="20"/>
                <w:lang w:eastAsia="zh-CN"/>
              </w:rPr>
              <w:t>。</w:t>
            </w:r>
            <w:r>
              <w:rPr>
                <w:rFonts w:hint="eastAsia" w:ascii="宋体" w:hAnsi="宋体"/>
                <w:sz w:val="20"/>
                <w:szCs w:val="20"/>
                <w:lang w:val="en-US" w:eastAsia="zh-CN"/>
              </w:rPr>
              <w:t>员工</w:t>
            </w:r>
            <w:r>
              <w:rPr>
                <w:rFonts w:hint="eastAsia" w:ascii="宋体" w:hAnsi="宋体"/>
                <w:sz w:val="20"/>
                <w:szCs w:val="20"/>
                <w:lang w:eastAsia="zh-CN"/>
              </w:rPr>
              <w:t>在工作前及工作结束后能够及时清理环境及设备。工作环境得到良好的控制</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000000" w:themeColor="text1"/>
                <w:sz w:val="20"/>
                <w:szCs w:val="20"/>
              </w:rPr>
            </w:pPr>
            <w:r>
              <w:rPr>
                <w:rFonts w:hint="eastAsia"/>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sz w:val="20"/>
                <w:szCs w:val="20"/>
              </w:rPr>
              <w:t>公司对法律法规及其他要求进行了获取，包括</w:t>
            </w:r>
            <w:r>
              <w:rPr>
                <w:rFonts w:hint="eastAsia"/>
                <w:color w:val="auto"/>
                <w:sz w:val="20"/>
                <w:szCs w:val="20"/>
                <w:lang w:val="en-US" w:eastAsia="zh-CN"/>
              </w:rPr>
              <w:t>质量法、合同法、</w:t>
            </w:r>
            <w:r>
              <w:rPr>
                <w:rFonts w:hint="eastAsia"/>
                <w:sz w:val="20"/>
                <w:szCs w:val="20"/>
              </w:rPr>
              <w:t>环境保护法</w:t>
            </w:r>
            <w:r>
              <w:rPr>
                <w:rFonts w:hint="eastAsia"/>
                <w:sz w:val="20"/>
                <w:szCs w:val="20"/>
                <w:lang w:eastAsia="zh-CN"/>
              </w:rPr>
              <w:t>、</w:t>
            </w:r>
            <w:r>
              <w:rPr>
                <w:rFonts w:hint="eastAsia"/>
                <w:sz w:val="20"/>
                <w:szCs w:val="20"/>
              </w:rPr>
              <w:t>劳动法、消防法、</w:t>
            </w:r>
            <w:r>
              <w:rPr>
                <w:rFonts w:hint="eastAsia"/>
                <w:color w:val="auto"/>
                <w:sz w:val="20"/>
                <w:szCs w:val="20"/>
                <w:u w:val="none"/>
              </w:rPr>
              <w:t>固体废弃物环境防治法</w:t>
            </w:r>
            <w:r>
              <w:rPr>
                <w:rFonts w:hint="eastAsia"/>
                <w:color w:val="auto"/>
                <w:sz w:val="20"/>
                <w:szCs w:val="20"/>
                <w:u w:val="none"/>
                <w:lang w:eastAsia="zh-CN"/>
              </w:rPr>
              <w:t>、</w:t>
            </w:r>
            <w:r>
              <w:rPr>
                <w:rFonts w:hint="eastAsia"/>
                <w:sz w:val="20"/>
                <w:szCs w:val="20"/>
              </w:rPr>
              <w:t>仓库防火安全管理规则</w:t>
            </w:r>
            <w:r>
              <w:rPr>
                <w:rFonts w:hint="eastAsia"/>
                <w:sz w:val="20"/>
                <w:szCs w:val="20"/>
                <w:lang w:eastAsia="zh-CN"/>
              </w:rPr>
              <w:t>、</w:t>
            </w:r>
            <w:r>
              <w:rPr>
                <w:rFonts w:hint="eastAsia"/>
                <w:sz w:val="20"/>
                <w:szCs w:val="20"/>
              </w:rPr>
              <w:t>劳动保护用品管理规定</w:t>
            </w:r>
            <w:r>
              <w:rPr>
                <w:rFonts w:hint="eastAsia"/>
                <w:sz w:val="20"/>
                <w:szCs w:val="20"/>
                <w:lang w:val="en-US" w:eastAsia="zh-CN"/>
              </w:rPr>
              <w:t>、</w:t>
            </w:r>
            <w:r>
              <w:rPr>
                <w:rFonts w:hint="eastAsia"/>
                <w:sz w:val="20"/>
                <w:szCs w:val="20"/>
                <w:u w:val="none" w:color="auto"/>
                <w:lang w:val="en-US" w:eastAsia="zh-CN"/>
              </w:rPr>
              <w:t>GB/T24001-2016《环境管理体系 要求及使用指南》、GB/T45001-2020《职业健康安全管理体系 要求及使用指南》</w:t>
            </w:r>
            <w:r>
              <w:rPr>
                <w:rFonts w:hint="eastAsia" w:cs="宋体"/>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2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灭火器、集气罩、等离子净化器、排气筒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警示牌、灭火器、手套、口罩等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rPr>
                <w:rFonts w:hint="eastAsia" w:cs="宋体"/>
                <w:sz w:val="20"/>
                <w:szCs w:val="20"/>
              </w:rPr>
            </w:pPr>
            <w:r>
              <w:rPr>
                <w:sz w:val="20"/>
                <w:szCs w:val="20"/>
              </w:rPr>
              <w:t>1.</w:t>
            </w:r>
            <w:r>
              <w:rPr>
                <w:rFonts w:hint="eastAsia" w:cs="宋体"/>
                <w:sz w:val="20"/>
                <w:szCs w:val="20"/>
              </w:rPr>
              <w:t>管理方针：</w:t>
            </w:r>
          </w:p>
          <w:p>
            <w:pPr>
              <w:rPr>
                <w:rFonts w:hint="eastAsia"/>
                <w:sz w:val="21"/>
                <w:szCs w:val="21"/>
              </w:rPr>
            </w:pPr>
            <w:r>
              <w:rPr>
                <w:rFonts w:hint="eastAsia"/>
                <w:sz w:val="21"/>
                <w:szCs w:val="21"/>
              </w:rPr>
              <w:t>创新求精，不断提升产品与服务质量，促进快速发展</w:t>
            </w:r>
          </w:p>
          <w:p>
            <w:pPr>
              <w:rPr>
                <w:rFonts w:hint="eastAsia"/>
                <w:sz w:val="21"/>
                <w:szCs w:val="21"/>
              </w:rPr>
            </w:pPr>
            <w:r>
              <w:rPr>
                <w:rFonts w:hint="eastAsia"/>
                <w:sz w:val="21"/>
                <w:szCs w:val="21"/>
              </w:rPr>
              <w:t>节能降耗，注重环境保护与污染预防，促进协调发展</w:t>
            </w:r>
          </w:p>
          <w:p>
            <w:pPr>
              <w:rPr>
                <w:rFonts w:hint="eastAsia"/>
                <w:sz w:val="21"/>
                <w:szCs w:val="21"/>
              </w:rPr>
            </w:pPr>
            <w:r>
              <w:rPr>
                <w:rFonts w:hint="eastAsia"/>
                <w:sz w:val="21"/>
                <w:szCs w:val="21"/>
              </w:rPr>
              <w:t>以人为本，确保职业健康与劳动安全，促进和谐发展</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sz w:val="20"/>
                <w:szCs w:val="20"/>
                <w:lang w:val="en-US" w:eastAsia="zh-CN"/>
              </w:rPr>
            </w:pPr>
            <w:r>
              <w:rPr>
                <w:rFonts w:hint="eastAsia"/>
                <w:sz w:val="21"/>
                <w:szCs w:val="21"/>
              </w:rPr>
              <w:t>守法诚信，坚持预防为主与持续改进，追求卓越绩效</w:t>
            </w:r>
            <w:r>
              <w:rPr>
                <w:rFonts w:hint="eastAsia" w:cs="宋体"/>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sz w:val="20"/>
                <w:szCs w:val="20"/>
              </w:rPr>
            </w:pPr>
            <w:r>
              <w:rPr>
                <w:sz w:val="20"/>
                <w:szCs w:val="20"/>
              </w:rPr>
              <w:t xml:space="preserve">2. </w:t>
            </w:r>
            <w:r>
              <w:rPr>
                <w:rFonts w:hint="eastAsia" w:cs="宋体"/>
                <w:sz w:val="20"/>
                <w:szCs w:val="20"/>
              </w:rPr>
              <w:t>管理方针与企业的经营宗旨相适应，协调；</w:t>
            </w:r>
          </w:p>
          <w:p>
            <w:pPr>
              <w:keepNext w:val="0"/>
              <w:keepLines w:val="0"/>
              <w:pageBreakBefore w:val="0"/>
              <w:kinsoku/>
              <w:wordWrap/>
              <w:overflowPunct/>
              <w:topLinePunct w:val="0"/>
              <w:autoSpaceDE/>
              <w:autoSpaceDN/>
              <w:bidi w:val="0"/>
              <w:adjustRightInd/>
              <w:snapToGrid/>
              <w:spacing w:line="320" w:lineRule="exact"/>
              <w:ind w:left="1"/>
              <w:textAlignment w:val="auto"/>
              <w:rPr>
                <w:rFonts w:hint="eastAsia"/>
                <w:b/>
                <w:color w:val="000000" w:themeColor="text1"/>
                <w:sz w:val="20"/>
                <w:szCs w:val="20"/>
              </w:rPr>
            </w:pPr>
            <w:r>
              <w:rPr>
                <w:sz w:val="20"/>
                <w:szCs w:val="20"/>
              </w:rPr>
              <w:t xml:space="preserve">3. </w:t>
            </w:r>
            <w:r>
              <w:rPr>
                <w:rFonts w:hint="eastAsia" w:cs="宋体"/>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 w:val="20"/>
                <w:szCs w:val="20"/>
              </w:rPr>
              <w:t>文件、会议、电话、面谈等方式进行内部沟通</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 w:val="20"/>
                <w:szCs w:val="20"/>
              </w:rPr>
              <w:t>沟通较为顺畅</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 w:val="20"/>
                <w:szCs w:val="20"/>
              </w:rPr>
              <w:t>上级主管部门的沟通，目前沟通都较为顺畅</w:t>
            </w:r>
            <w:r>
              <w:rPr>
                <w:rFonts w:hint="eastAsia" w:ascii="宋体" w:hAnsi="宋体"/>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 w:val="20"/>
                <w:szCs w:val="20"/>
              </w:rPr>
              <w:t>外部沟通：文件、电话、面谈、传真等，主要与顾客、供方、上级主管部门的沟通，目前各项沟通都较为顺畅</w:t>
            </w:r>
            <w:r>
              <w:rPr>
                <w:rFonts w:hint="eastAsia" w:ascii="宋体" w:hAnsi="宋体"/>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sz w:val="20"/>
                <w:szCs w:val="20"/>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与相关方协商的情况（OHSMS填写）：</w:t>
            </w:r>
            <w:r>
              <w:rPr>
                <w:rFonts w:hint="eastAsia" w:ascii="Times New Roman" w:hAnsi="Times New Roman" w:cs="Times New Roman"/>
                <w:sz w:val="20"/>
                <w:szCs w:val="20"/>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0"/>
                <w:szCs w:val="20"/>
              </w:rPr>
              <w:t>对于</w:t>
            </w:r>
            <w:r>
              <w:rPr>
                <w:rFonts w:hint="eastAsia"/>
                <w:sz w:val="20"/>
                <w:szCs w:val="20"/>
                <w:lang w:val="en-US" w:eastAsia="zh-CN"/>
              </w:rPr>
              <w:t>不合格项</w:t>
            </w:r>
            <w:r>
              <w:rPr>
                <w:rFonts w:hint="eastAsia"/>
                <w:sz w:val="20"/>
                <w:szCs w:val="20"/>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sz w:val="20"/>
                <w:szCs w:val="20"/>
                <w:lang w:val="en-US" w:eastAsia="zh-CN"/>
              </w:rPr>
              <w:t>编制</w:t>
            </w:r>
            <w:r>
              <w:rPr>
                <w:rFonts w:hint="eastAsia"/>
                <w:sz w:val="20"/>
                <w:szCs w:val="20"/>
              </w:rPr>
              <w:t>环境因素识别评价与控制程序</w:t>
            </w:r>
            <w:r>
              <w:rPr>
                <w:rFonts w:hint="eastAsia"/>
                <w:b w:val="0"/>
                <w:bCs w:val="0"/>
                <w:sz w:val="20"/>
                <w:szCs w:val="20"/>
                <w:lang w:eastAsia="zh-CN"/>
              </w:rPr>
              <w:t>、</w:t>
            </w:r>
            <w:r>
              <w:rPr>
                <w:rFonts w:hint="eastAsia"/>
                <w:sz w:val="20"/>
                <w:szCs w:val="20"/>
              </w:rPr>
              <w:t>运行控制程序</w:t>
            </w:r>
            <w:r>
              <w:rPr>
                <w:rFonts w:hint="eastAsia"/>
                <w:sz w:val="20"/>
                <w:szCs w:val="20"/>
                <w:lang w:eastAsia="zh-CN"/>
              </w:rPr>
              <w:t>、</w:t>
            </w:r>
            <w:r>
              <w:rPr>
                <w:rFonts w:hint="eastAsia"/>
                <w:b w:val="0"/>
                <w:bCs w:val="0"/>
                <w:sz w:val="20"/>
                <w:szCs w:val="20"/>
              </w:rPr>
              <w:t>固体废弃物管理控制程序、对相关方施加影响控制程序、安全管理制度等，针对各部门所负责的工作，分别对环境运行过程进行控制</w:t>
            </w:r>
            <w:r>
              <w:rPr>
                <w:rFonts w:hint="eastAsia"/>
                <w:b w:val="0"/>
                <w:bCs w:val="0"/>
                <w:sz w:val="20"/>
                <w:szCs w:val="20"/>
                <w:lang w:val="en-GB"/>
              </w:rPr>
              <w:t>，</w:t>
            </w:r>
            <w:r>
              <w:rPr>
                <w:rFonts w:hint="eastAsia"/>
                <w:b w:val="0"/>
                <w:bCs w:val="0"/>
                <w:sz w:val="20"/>
                <w:szCs w:val="20"/>
              </w:rPr>
              <w:t>涉及有固废处置、资源控制、火灾、相关方施加影响等。查看办公区域干净整洁，配置灭火器等消防设施</w:t>
            </w:r>
            <w:r>
              <w:rPr>
                <w:rFonts w:hint="eastAsia"/>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numPr>
                <w:numId w:val="0"/>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b/>
                <w:color w:val="000000" w:themeColor="text1"/>
                <w:sz w:val="20"/>
                <w:szCs w:val="20"/>
                <w:lang w:val="en-US"/>
              </w:rPr>
            </w:pPr>
            <w:r>
              <w:rPr>
                <w:rFonts w:hint="eastAsia"/>
                <w:b w:val="0"/>
                <w:bCs w:val="0"/>
                <w:sz w:val="20"/>
                <w:szCs w:val="20"/>
                <w:lang w:val="en-GB"/>
              </w:rPr>
              <w:t>编制</w:t>
            </w:r>
            <w:r>
              <w:rPr>
                <w:rFonts w:hint="eastAsia"/>
                <w:sz w:val="20"/>
                <w:szCs w:val="20"/>
              </w:rPr>
              <w:t>危险源识别评价与控制程序</w:t>
            </w:r>
            <w:r>
              <w:rPr>
                <w:rFonts w:hint="eastAsia"/>
                <w:b w:val="0"/>
                <w:bCs w:val="0"/>
                <w:sz w:val="20"/>
                <w:szCs w:val="20"/>
                <w:lang w:eastAsia="zh-CN"/>
              </w:rPr>
              <w:t>、</w:t>
            </w:r>
            <w:r>
              <w:rPr>
                <w:rFonts w:hint="eastAsia"/>
                <w:sz w:val="20"/>
                <w:szCs w:val="20"/>
              </w:rPr>
              <w:t>运行控制程序</w:t>
            </w:r>
            <w:r>
              <w:rPr>
                <w:rFonts w:hint="eastAsia" w:ascii="宋体" w:hAnsi="宋体" w:cs="宋体"/>
                <w:b w:val="0"/>
                <w:bCs w:val="0"/>
                <w:color w:val="000000"/>
                <w:sz w:val="20"/>
                <w:szCs w:val="20"/>
                <w:lang w:val="zh-CN"/>
              </w:rPr>
              <w:t>、</w:t>
            </w:r>
            <w:r>
              <w:rPr>
                <w:rFonts w:hint="eastAsia"/>
                <w:b w:val="0"/>
                <w:bCs w:val="0"/>
                <w:sz w:val="20"/>
                <w:szCs w:val="20"/>
                <w:lang w:val="en-GB"/>
              </w:rPr>
              <w:t>对相关方施加影响控制程序、安全管理制度等，针对各部门所负责的工作，对危险源进行控制</w:t>
            </w:r>
            <w:r>
              <w:rPr>
                <w:rFonts w:hint="eastAsia"/>
                <w:b w:val="0"/>
                <w:bCs w:val="0"/>
                <w:sz w:val="20"/>
                <w:szCs w:val="20"/>
              </w:rPr>
              <w:t>涉及有</w:t>
            </w:r>
            <w:r>
              <w:rPr>
                <w:rFonts w:hint="eastAsia"/>
                <w:b w:val="0"/>
                <w:bCs w:val="0"/>
                <w:sz w:val="20"/>
                <w:szCs w:val="20"/>
                <w:lang w:val="en-GB"/>
              </w:rPr>
              <w:t>火灾、触电、</w:t>
            </w:r>
            <w:r>
              <w:rPr>
                <w:rFonts w:hint="eastAsia"/>
                <w:b w:val="0"/>
                <w:bCs w:val="0"/>
                <w:sz w:val="20"/>
                <w:szCs w:val="20"/>
                <w:lang w:val="en-US" w:eastAsia="zh-CN"/>
              </w:rPr>
              <w:t>物体打击、车辆</w:t>
            </w:r>
            <w:r>
              <w:rPr>
                <w:rFonts w:hint="eastAsia"/>
                <w:b w:val="0"/>
                <w:bCs w:val="0"/>
                <w:sz w:val="20"/>
                <w:szCs w:val="20"/>
                <w:lang w:val="en-GB"/>
              </w:rPr>
              <w:t>伤害</w:t>
            </w:r>
            <w:r>
              <w:rPr>
                <w:rFonts w:hint="eastAsia"/>
                <w:b w:val="0"/>
                <w:bCs w:val="0"/>
                <w:sz w:val="20"/>
                <w:szCs w:val="20"/>
              </w:rPr>
              <w:t>、相关方施加影响等进行控制，具体措施有对员工进行安全教育，发放劳保用品，对相关方进行告知</w:t>
            </w:r>
            <w:r>
              <w:rPr>
                <w:rFonts w:hint="eastAsia"/>
                <w:b w:val="0"/>
                <w:bCs w:val="0"/>
                <w:sz w:val="20"/>
                <w:szCs w:val="20"/>
                <w:lang w:eastAsia="zh-CN"/>
              </w:rPr>
              <w:t>。</w:t>
            </w:r>
            <w:r>
              <w:rPr>
                <w:rFonts w:hint="eastAsia"/>
                <w:b w:val="0"/>
                <w:bCs w:val="0"/>
                <w:sz w:val="20"/>
                <w:szCs w:val="20"/>
              </w:rPr>
              <w:t>查看办公区域干净整洁，配置灭火器等消防设施</w:t>
            </w:r>
            <w:r>
              <w:rPr>
                <w:rFonts w:hint="eastAsia"/>
                <w:b w:val="0"/>
                <w:bCs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pacing w:val="-4"/>
                <w:sz w:val="20"/>
                <w:szCs w:val="20"/>
              </w:rPr>
            </w:pPr>
            <w:r>
              <w:rPr>
                <w:rFonts w:hint="eastAsia" w:ascii="宋体" w:hAnsi="宋体"/>
                <w:bCs/>
                <w:color w:val="auto"/>
                <w:sz w:val="20"/>
                <w:szCs w:val="20"/>
                <w:u w:val="none" w:color="auto"/>
                <w:lang w:eastAsia="zh-CN"/>
              </w:rPr>
              <w:t>编制应急准备和响应控制程序，识别的潜在意外紧急情况为火灾、触电、</w:t>
            </w:r>
            <w:r>
              <w:rPr>
                <w:rFonts w:hint="eastAsia" w:ascii="宋体" w:hAnsi="宋体"/>
                <w:bCs/>
                <w:color w:val="auto"/>
                <w:sz w:val="20"/>
                <w:szCs w:val="20"/>
                <w:u w:val="none" w:color="auto"/>
                <w:lang w:val="en-US" w:eastAsia="zh-CN"/>
              </w:rPr>
              <w:t>机械伤害</w:t>
            </w:r>
            <w:r>
              <w:rPr>
                <w:rFonts w:hint="eastAsia" w:ascii="宋体" w:hAnsi="宋体"/>
                <w:bCs/>
                <w:color w:val="auto"/>
                <w:sz w:val="20"/>
                <w:szCs w:val="20"/>
                <w:u w:val="none" w:color="auto"/>
                <w:lang w:eastAsia="zh-CN"/>
              </w:rPr>
              <w:t>等。编制了应急预案—包括火灾、触电、</w:t>
            </w:r>
            <w:r>
              <w:rPr>
                <w:rFonts w:hint="eastAsia" w:ascii="宋体" w:hAnsi="宋体"/>
                <w:bCs/>
                <w:color w:val="auto"/>
                <w:sz w:val="20"/>
                <w:szCs w:val="20"/>
                <w:u w:val="none" w:color="auto"/>
                <w:lang w:val="en-US" w:eastAsia="zh-CN"/>
              </w:rPr>
              <w:t>机械伤害</w:t>
            </w:r>
            <w:r>
              <w:rPr>
                <w:rFonts w:hint="eastAsia" w:ascii="宋体" w:hAnsi="宋体"/>
                <w:bCs/>
                <w:color w:val="auto"/>
                <w:sz w:val="20"/>
                <w:szCs w:val="20"/>
                <w:u w:val="none" w:color="auto"/>
                <w:lang w:eastAsia="zh-CN"/>
              </w:rPr>
              <w:t>应急预案，经查问</w:t>
            </w:r>
            <w:r>
              <w:rPr>
                <w:rFonts w:hint="eastAsia" w:ascii="宋体" w:hAnsi="宋体"/>
                <w:bCs/>
                <w:color w:val="auto"/>
                <w:sz w:val="20"/>
                <w:szCs w:val="20"/>
                <w:u w:val="none" w:color="auto"/>
                <w:lang w:val="en-US" w:eastAsia="zh-CN"/>
              </w:rPr>
              <w:t>办公室</w:t>
            </w:r>
            <w:r>
              <w:rPr>
                <w:rFonts w:hint="eastAsia" w:ascii="宋体" w:hAnsi="宋体"/>
                <w:bCs/>
                <w:color w:val="auto"/>
                <w:sz w:val="20"/>
                <w:szCs w:val="20"/>
                <w:u w:val="none" w:color="auto"/>
                <w:lang w:eastAsia="zh-CN"/>
              </w:rPr>
              <w:t>组织了应急演练，提供了应急预案演练记录。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xml:space="preserve">对特种设备的维护，检定; </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r>
              <w:rPr>
                <w:rFonts w:hint="eastAsia"/>
                <w:b/>
                <w:color w:val="000000" w:themeColor="text1"/>
                <w:sz w:val="20"/>
                <w:szCs w:val="20"/>
              </w:rPr>
              <w:t>(四)监视测量方面</w:t>
            </w:r>
          </w:p>
        </w:tc>
        <w:tc>
          <w:tcPr>
            <w:tcW w:w="9198" w:type="dxa"/>
          </w:tcPr>
          <w:p>
            <w:pPr>
              <w:keepNext w:val="0"/>
              <w:keepLines w:val="0"/>
              <w:pageBreakBefore w:val="0"/>
              <w:kinsoku/>
              <w:wordWrap/>
              <w:overflowPunct/>
              <w:topLinePunct w:val="0"/>
              <w:autoSpaceDE/>
              <w:autoSpaceDN/>
              <w:bidi w:val="0"/>
              <w:adjustRightInd/>
              <w:snapToGrid/>
              <w:spacing w:line="32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sz w:val="20"/>
                <w:szCs w:val="20"/>
              </w:rPr>
              <w:t>提供了文件化可分解的目标、指标，经查问分解到各部门，经查阅建立的管理目标符合标准要求，在方针的框架下展开，每季度考核一次，查看20</w:t>
            </w:r>
            <w:r>
              <w:rPr>
                <w:rFonts w:hint="eastAsia"/>
                <w:sz w:val="20"/>
                <w:szCs w:val="20"/>
                <w:lang w:val="en-US" w:eastAsia="zh-CN"/>
              </w:rPr>
              <w:t>20</w:t>
            </w:r>
            <w:r>
              <w:rPr>
                <w:rFonts w:hint="eastAsia"/>
                <w:sz w:val="20"/>
                <w:szCs w:val="20"/>
              </w:rPr>
              <w:t>年考核结果，经查目标完成。并制定了管理方案，经查已完成，符合要求</w:t>
            </w:r>
            <w:r>
              <w:rPr>
                <w:rFonts w:hint="eastAsia"/>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sz w:val="20"/>
                <w:szCs w:val="20"/>
              </w:rPr>
              <w:t>按照策划的安排于</w:t>
            </w:r>
            <w:r>
              <w:rPr>
                <w:sz w:val="20"/>
                <w:szCs w:val="20"/>
              </w:rPr>
              <w:t>20</w:t>
            </w:r>
            <w:r>
              <w:rPr>
                <w:rFonts w:hint="eastAsia"/>
                <w:sz w:val="20"/>
                <w:szCs w:val="20"/>
                <w:lang w:val="en-US" w:eastAsia="zh-CN"/>
              </w:rPr>
              <w:t>20年11月15-16日</w:t>
            </w:r>
            <w:r>
              <w:rPr>
                <w:rFonts w:hint="eastAsia"/>
                <w:sz w:val="20"/>
                <w:szCs w:val="20"/>
              </w:rPr>
              <w:t>进行了一次集中式的内部审核，经查阅资料及与管代沟通，内审员没有审核自己的工作，查阅内审记录，符合策划安排，提出</w:t>
            </w:r>
            <w:r>
              <w:rPr>
                <w:rFonts w:hint="eastAsia"/>
                <w:sz w:val="20"/>
                <w:szCs w:val="20"/>
                <w:lang w:val="en-US" w:eastAsia="zh-CN"/>
              </w:rPr>
              <w:t>2</w:t>
            </w:r>
            <w:r>
              <w:rPr>
                <w:rFonts w:hint="eastAsia"/>
                <w:sz w:val="20"/>
                <w:szCs w:val="20"/>
              </w:rPr>
              <w:t>项不符合，责任部门进行了分析原因、采取纠正/纠正措施并验证了有效性，内审报告中对管理体系的符合性、充分性和运行有效性进行了评价。内审符合要求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0"/>
                <w:szCs w:val="20"/>
              </w:rPr>
              <w:t>按照策划的安排于</w:t>
            </w:r>
            <w:r>
              <w:rPr>
                <w:sz w:val="20"/>
                <w:szCs w:val="20"/>
              </w:rPr>
              <w:t>20</w:t>
            </w:r>
            <w:r>
              <w:rPr>
                <w:rFonts w:hint="eastAsia"/>
                <w:sz w:val="20"/>
                <w:szCs w:val="20"/>
                <w:lang w:val="en-US" w:eastAsia="zh-CN"/>
              </w:rPr>
              <w:t>20</w:t>
            </w:r>
            <w:r>
              <w:rPr>
                <w:rFonts w:hint="eastAsia" w:cs="宋体"/>
                <w:sz w:val="20"/>
                <w:szCs w:val="20"/>
              </w:rPr>
              <w:t>年</w:t>
            </w:r>
            <w:r>
              <w:rPr>
                <w:rFonts w:hint="eastAsia"/>
                <w:sz w:val="20"/>
                <w:szCs w:val="20"/>
                <w:lang w:val="en-US" w:eastAsia="zh-CN"/>
              </w:rPr>
              <w:t>12</w:t>
            </w:r>
            <w:r>
              <w:rPr>
                <w:rFonts w:hint="eastAsia" w:cs="宋体"/>
                <w:sz w:val="20"/>
                <w:szCs w:val="20"/>
              </w:rPr>
              <w:t>月</w:t>
            </w:r>
            <w:r>
              <w:rPr>
                <w:rFonts w:hint="eastAsia"/>
                <w:sz w:val="20"/>
                <w:szCs w:val="20"/>
                <w:lang w:val="en-US" w:eastAsia="zh-CN"/>
              </w:rPr>
              <w:t>1</w:t>
            </w:r>
            <w:r>
              <w:rPr>
                <w:rFonts w:hint="eastAsia" w:cs="宋体"/>
                <w:sz w:val="20"/>
                <w:szCs w:val="20"/>
              </w:rPr>
              <w:t>日</w:t>
            </w:r>
            <w:r>
              <w:rPr>
                <w:rFonts w:hint="eastAsia"/>
                <w:sz w:val="20"/>
                <w:szCs w:val="20"/>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numPr>
                <w:numId w:val="0"/>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提供检测报告，符合要求，详见附件。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提供</w:t>
            </w:r>
            <w:r>
              <w:rPr>
                <w:rFonts w:hint="eastAsia" w:ascii="Times New Roman" w:hAnsi="Times New Roman" w:cs="Times New Roman"/>
                <w:szCs w:val="22"/>
                <w:lang w:val="en-US" w:eastAsia="zh-CN"/>
              </w:rPr>
              <w:t>建设项目环境影响</w:t>
            </w:r>
            <w:r>
              <w:rPr>
                <w:rFonts w:hint="eastAsia" w:cs="Times New Roman"/>
                <w:szCs w:val="22"/>
                <w:lang w:val="en-US" w:eastAsia="zh-CN"/>
              </w:rPr>
              <w:t>评估</w:t>
            </w:r>
            <w:r>
              <w:rPr>
                <w:rFonts w:hint="eastAsia" w:ascii="Times New Roman" w:hAnsi="Times New Roman" w:cs="Times New Roman"/>
                <w:szCs w:val="22"/>
                <w:lang w:val="en-US" w:eastAsia="zh-CN"/>
              </w:rPr>
              <w:t>报告、</w:t>
            </w:r>
            <w:r>
              <w:rPr>
                <w:rFonts w:hint="eastAsia" w:cs="Times New Roman"/>
                <w:szCs w:val="22"/>
                <w:lang w:val="en-US" w:eastAsia="zh-CN"/>
              </w:rPr>
              <w:t>环评评估报告备案表</w:t>
            </w:r>
            <w:r>
              <w:rPr>
                <w:rFonts w:hint="eastAsia"/>
                <w:b w:val="0"/>
                <w:bCs/>
                <w:color w:val="000000" w:themeColor="text1"/>
                <w:sz w:val="20"/>
                <w:szCs w:val="20"/>
                <w:lang w:val="en-US" w:eastAsia="zh-CN"/>
              </w:rPr>
              <w:t>，符合要求，详见附件。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20" w:lineRule="exact"/>
              <w:textAlignment w:val="auto"/>
              <w:rPr>
                <w:rFonts w:hint="default"/>
                <w:b/>
                <w:color w:val="000000" w:themeColor="text1"/>
                <w:sz w:val="20"/>
                <w:szCs w:val="20"/>
                <w:lang w:val="en-US"/>
              </w:rPr>
            </w:pPr>
            <w:r>
              <w:rPr>
                <w:rFonts w:hint="eastAsia"/>
                <w:b w:val="0"/>
                <w:bCs/>
                <w:color w:val="000000" w:themeColor="text1"/>
                <w:sz w:val="20"/>
                <w:szCs w:val="20"/>
                <w:lang w:val="en-US" w:eastAsia="zh-CN"/>
              </w:rPr>
              <w:t>不涉及职业病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.OHSMS国家/地方职业健康安全部门监督检查情况及措施</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bottom w:val="single" w:color="auto" w:sz="4" w:space="0"/>
            </w:tcBorders>
          </w:tcPr>
          <w:p>
            <w:pPr>
              <w:keepNext w:val="0"/>
              <w:keepLines w:val="0"/>
              <w:pageBreakBefore w:val="0"/>
              <w:widowControl/>
              <w:numPr>
                <w:numId w:val="0"/>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leftChars="0" w:right="113"/>
              <w:jc w:val="center"/>
              <w:textAlignment w:val="auto"/>
              <w:rPr>
                <w:b/>
                <w:color w:val="000000" w:themeColor="text1"/>
                <w:sz w:val="20"/>
                <w:szCs w:val="20"/>
              </w:rPr>
            </w:pPr>
            <w:r>
              <w:rPr>
                <w:rFonts w:hint="eastAsia"/>
                <w:b/>
                <w:color w:val="000000" w:themeColor="text1"/>
                <w:sz w:val="20"/>
                <w:szCs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sz w:val="20"/>
                <w:szCs w:val="20"/>
                <w:lang w:eastAsia="zh-CN"/>
              </w:rPr>
              <w:t>对</w:t>
            </w:r>
            <w:r>
              <w:rPr>
                <w:rFonts w:hint="eastAsia"/>
                <w:sz w:val="20"/>
                <w:szCs w:val="20"/>
              </w:rPr>
              <w:t>内审提出的不</w:t>
            </w:r>
            <w:r>
              <w:rPr>
                <w:rFonts w:hint="eastAsia"/>
                <w:sz w:val="20"/>
                <w:szCs w:val="20"/>
                <w:lang w:eastAsia="zh-CN"/>
              </w:rPr>
              <w:t>符合</w:t>
            </w:r>
            <w:r>
              <w:rPr>
                <w:rFonts w:hint="eastAsia"/>
                <w:sz w:val="20"/>
                <w:szCs w:val="20"/>
              </w:rPr>
              <w:t>进行原因分析，</w:t>
            </w:r>
            <w:r>
              <w:rPr>
                <w:rFonts w:hint="eastAsia"/>
                <w:sz w:val="20"/>
                <w:szCs w:val="20"/>
                <w:lang w:eastAsia="zh-CN"/>
              </w:rPr>
              <w:t>并完成了整改。</w:t>
            </w:r>
            <w:r>
              <w:rPr>
                <w:rFonts w:hint="eastAsia"/>
                <w:sz w:val="20"/>
                <w:szCs w:val="20"/>
              </w:rPr>
              <w:t>对管理评审提出的不</w:t>
            </w:r>
            <w:r>
              <w:rPr>
                <w:rFonts w:hint="eastAsia"/>
                <w:sz w:val="20"/>
                <w:szCs w:val="20"/>
                <w:lang w:eastAsia="zh-CN"/>
              </w:rPr>
              <w:t>符合</w:t>
            </w:r>
            <w:r>
              <w:rPr>
                <w:rFonts w:hint="eastAsia"/>
                <w:sz w:val="20"/>
                <w:szCs w:val="20"/>
              </w:rPr>
              <w:t>及改进要求，进行原因分析，制定了具体措施，目前正在实施中。</w:t>
            </w:r>
            <w:r>
              <w:rPr>
                <w:rFonts w:hint="eastAsia"/>
                <w:sz w:val="20"/>
                <w:szCs w:val="20"/>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numId w:val="0"/>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numId w:val="0"/>
              </w:numPr>
              <w:kinsoku/>
              <w:wordWrap/>
              <w:overflowPunct/>
              <w:topLinePunct w:val="0"/>
              <w:autoSpaceDE/>
              <w:autoSpaceDN/>
              <w:bidi w:val="0"/>
              <w:adjustRightInd/>
              <w:snapToGrid/>
              <w:spacing w:line="320" w:lineRule="exact"/>
              <w:ind w:leftChars="-50"/>
              <w:textAlignment w:val="auto"/>
              <w:rPr>
                <w:rFonts w:hint="eastAsia"/>
                <w:b/>
                <w:bCs/>
              </w:rPr>
            </w:pPr>
            <w:r>
              <w:rPr>
                <w:rFonts w:hint="eastAsia"/>
                <w:b/>
                <w:bCs/>
                <w:lang w:val="en-US" w:eastAsia="zh-CN"/>
              </w:rPr>
              <w:t>4.</w:t>
            </w:r>
            <w:r>
              <w:rPr>
                <w:rFonts w:hint="eastAsia"/>
                <w:b/>
                <w:bCs/>
              </w:rPr>
              <w:t>上次不符合的整改情况</w:t>
            </w:r>
          </w:p>
          <w:p>
            <w:pPr>
              <w:numPr>
                <w:numId w:val="0"/>
              </w:numPr>
              <w:bidi w:val="0"/>
              <w:rPr>
                <w:rFonts w:hint="default"/>
                <w:lang w:val="en-US"/>
              </w:rPr>
            </w:pPr>
            <w:r>
              <w:rPr>
                <w:rFonts w:hint="eastAsia"/>
                <w:b w:val="0"/>
                <w:bCs/>
                <w:color w:val="000000" w:themeColor="text1"/>
                <w:lang w:val="en-US" w:eastAsia="zh-CN"/>
              </w:rPr>
              <w:t>上次远程审核发现不符合项为生产技术部E8.1条款，此次现场审核未发现类似问题，经验证，采取的纠正措施有效。</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pStyle w:val="18"/>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任丘市鑫瑞铁路工程材料有限公司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8"/>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8"/>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0080" w:type="dxa"/>
          </w:tcPr>
          <w:p>
            <w:pPr>
              <w:rPr>
                <w:b/>
                <w:color w:val="000000" w:themeColor="text1"/>
              </w:rPr>
            </w:pPr>
            <w:r>
              <w:rPr>
                <w:rFonts w:hint="eastAsia"/>
                <w:b/>
                <w:color w:val="000000" w:themeColor="text1"/>
              </w:rPr>
              <w:t>2.对审核范围适宜性结论</w:t>
            </w:r>
          </w:p>
          <w:p>
            <w:pPr>
              <w:spacing w:line="400" w:lineRule="exact"/>
              <w:rPr>
                <w:rFonts w:hint="eastAsia"/>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审核范围适宜</w:t>
            </w:r>
            <w:r>
              <w:rPr>
                <w:rFonts w:hint="eastAsia"/>
                <w:b/>
                <w:color w:val="000000" w:themeColor="text1"/>
                <w:lang w:eastAsia="zh-CN"/>
              </w:rPr>
              <w:t>，</w:t>
            </w:r>
          </w:p>
          <w:p>
            <w:pPr>
              <w:rPr>
                <w:sz w:val="20"/>
              </w:rPr>
            </w:pPr>
            <w:r>
              <w:rPr>
                <w:sz w:val="20"/>
              </w:rPr>
              <w:t>E：套筒的生产，铁路用中空注浆锚杆、接地端子、脚手架和PVC管件的销售及相关环境管理活动</w:t>
            </w:r>
          </w:p>
          <w:p>
            <w:pPr>
              <w:rPr>
                <w:sz w:val="20"/>
              </w:rPr>
            </w:pPr>
            <w:r>
              <w:rPr>
                <w:sz w:val="20"/>
              </w:rPr>
              <w:t>O：套筒的生产，铁路用中空注浆锚杆、接地端子、脚手架和PVC管件的销售及相关职业健康安全管理活动</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lang w:eastAsia="zh-CN"/>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keepNext w:val="0"/>
        <w:keepLines w:val="0"/>
        <w:pageBreakBefore w:val="0"/>
        <w:numPr>
          <w:ilvl w:val="0"/>
          <w:numId w:val="5"/>
        </w:numPr>
        <w:tabs>
          <w:tab w:val="left" w:pos="645"/>
        </w:tabs>
        <w:kinsoku/>
        <w:wordWrap/>
        <w:overflowPunct/>
        <w:topLinePunct w:val="0"/>
        <w:autoSpaceDE/>
        <w:autoSpaceDN/>
        <w:bidi w:val="0"/>
        <w:adjustRightInd/>
        <w:spacing w:line="360" w:lineRule="exact"/>
        <w:ind w:left="-850" w:leftChars="-405"/>
        <w:textAlignment w:val="auto"/>
        <w:rPr>
          <w:rFonts w:hint="eastAsia" w:ascii="Times New Roman" w:hAnsi="Times New Roman" w:eastAsia="宋体" w:cs="Times New Roman"/>
          <w:b/>
          <w:color w:val="000000" w:themeColor="text1"/>
          <w:kern w:val="2"/>
          <w:sz w:val="26"/>
          <w:szCs w:val="26"/>
          <w:lang w:val="en-US" w:eastAsia="zh-CN" w:bidi="ar-SA"/>
        </w:rPr>
      </w:pP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p>
    <w:p>
      <w:pPr>
        <w:keepNext w:val="0"/>
        <w:keepLines w:val="0"/>
        <w:pageBreakBefore w:val="0"/>
        <w:kinsoku/>
        <w:wordWrap/>
        <w:overflowPunct/>
        <w:topLinePunct w:val="0"/>
        <w:autoSpaceDE/>
        <w:autoSpaceDN/>
        <w:bidi w:val="0"/>
        <w:adjustRightInd/>
        <w:snapToGrid w:val="0"/>
        <w:spacing w:line="360" w:lineRule="exact"/>
        <w:ind w:left="-853" w:leftChars="-406" w:firstLine="424" w:firstLineChars="201"/>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numPr>
          <w:ilvl w:val="0"/>
          <w:numId w:val="0"/>
        </w:numPr>
        <w:tabs>
          <w:tab w:val="left" w:pos="645"/>
        </w:tabs>
        <w:kinsoku/>
        <w:wordWrap/>
        <w:overflowPunct/>
        <w:topLinePunct w:val="0"/>
        <w:autoSpaceDE/>
        <w:autoSpaceDN/>
        <w:bidi w:val="0"/>
        <w:adjustRightInd/>
        <w:spacing w:line="360" w:lineRule="exact"/>
        <w:textAlignment w:val="auto"/>
        <w:rPr>
          <w:rFonts w:hint="eastAsia" w:ascii="Times New Roman" w:hAnsi="Times New Roman" w:eastAsia="宋体" w:cs="Times New Roman"/>
          <w:b/>
          <w:color w:val="000000" w:themeColor="text1"/>
          <w:kern w:val="2"/>
          <w:sz w:val="26"/>
          <w:szCs w:val="26"/>
          <w:lang w:val="en-US" w:eastAsia="zh-CN" w:bidi="ar-SA"/>
        </w:rPr>
      </w:pPr>
    </w:p>
    <w:p>
      <w:pPr>
        <w:keepNext w:val="0"/>
        <w:keepLines w:val="0"/>
        <w:pageBreakBefore w:val="0"/>
        <w:widowControl w:val="0"/>
        <w:tabs>
          <w:tab w:val="left" w:pos="645"/>
        </w:tabs>
        <w:kinsoku/>
        <w:wordWrap/>
        <w:overflowPunct/>
        <w:topLinePunct w:val="0"/>
        <w:autoSpaceDE/>
        <w:autoSpaceDN/>
        <w:bidi w:val="0"/>
        <w:adjustRightInd/>
        <w:spacing w:line="34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widowControl w:val="0"/>
        <w:kinsoku/>
        <w:wordWrap/>
        <w:overflowPunct/>
        <w:topLinePunct w:val="0"/>
        <w:autoSpaceDE/>
        <w:autoSpaceDN/>
        <w:bidi w:val="0"/>
        <w:adjustRightInd/>
        <w:spacing w:line="340" w:lineRule="exact"/>
        <w:ind w:left="-850" w:leftChars="-405" w:firstLine="422" w:firstLineChars="200"/>
        <w:textAlignment w:val="auto"/>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widowControl w:val="0"/>
        <w:tabs>
          <w:tab w:val="left" w:pos="645"/>
        </w:tabs>
        <w:kinsoku/>
        <w:wordWrap/>
        <w:overflowPunct/>
        <w:topLinePunct w:val="0"/>
        <w:autoSpaceDE/>
        <w:autoSpaceDN/>
        <w:bidi w:val="0"/>
        <w:adjustRightInd/>
        <w:spacing w:line="340" w:lineRule="exact"/>
        <w:textAlignment w:val="auto"/>
        <w:rPr>
          <w:rFonts w:hint="eastAsia"/>
          <w:b/>
          <w:color w:val="000000" w:themeColor="text1"/>
          <w:sz w:val="26"/>
          <w:szCs w:val="26"/>
        </w:rPr>
      </w:pPr>
    </w:p>
    <w:p>
      <w:pPr>
        <w:keepNext w:val="0"/>
        <w:keepLines w:val="0"/>
        <w:pageBreakBefore w:val="0"/>
        <w:widowControl w:val="0"/>
        <w:tabs>
          <w:tab w:val="left" w:pos="645"/>
        </w:tabs>
        <w:kinsoku/>
        <w:wordWrap/>
        <w:overflowPunct/>
        <w:topLinePunct w:val="0"/>
        <w:autoSpaceDE/>
        <w:autoSpaceDN/>
        <w:bidi w:val="0"/>
        <w:adjustRightInd/>
        <w:spacing w:line="340" w:lineRule="exact"/>
        <w:ind w:left="-850" w:leftChars="-405"/>
        <w:textAlignment w:val="auto"/>
        <w:rPr>
          <w:rFonts w:hint="eastAsia"/>
          <w:b/>
          <w:color w:val="000000" w:themeColor="text1"/>
          <w:sz w:val="26"/>
          <w:szCs w:val="26"/>
        </w:rPr>
      </w:pPr>
      <w:r>
        <w:rPr>
          <w:rFonts w:hint="eastAsia"/>
          <w:b/>
          <w:color w:val="000000" w:themeColor="text1"/>
          <w:sz w:val="26"/>
          <w:szCs w:val="26"/>
        </w:rPr>
        <w:t>十三、 任何影响审核方案的重要事项：</w:t>
      </w:r>
    </w:p>
    <w:p>
      <w:pPr>
        <w:pStyle w:val="2"/>
        <w:pageBreakBefore w:val="0"/>
        <w:widowControl w:val="0"/>
        <w:kinsoku/>
        <w:wordWrap/>
        <w:overflowPunct/>
        <w:topLinePunct w:val="0"/>
        <w:autoSpaceDE/>
        <w:autoSpaceDN/>
        <w:bidi w:val="0"/>
        <w:adjustRightInd/>
        <w:spacing w:line="340" w:lineRule="exact"/>
        <w:jc w:val="both"/>
        <w:textAlignment w:val="auto"/>
      </w:pPr>
    </w:p>
    <w:p>
      <w:pPr>
        <w:keepNext w:val="0"/>
        <w:keepLines w:val="0"/>
        <w:pageBreakBefore w:val="0"/>
        <w:widowControl w:val="0"/>
        <w:kinsoku/>
        <w:wordWrap/>
        <w:overflowPunct/>
        <w:topLinePunct w:val="0"/>
        <w:autoSpaceDE/>
        <w:autoSpaceDN/>
        <w:bidi w:val="0"/>
        <w:adjustRightInd/>
        <w:snapToGrid w:val="0"/>
        <w:spacing w:afterLines="50" w:line="340" w:lineRule="exact"/>
        <w:ind w:left="-166" w:leftChars="-405" w:hanging="684" w:hangingChars="326"/>
        <w:textAlignment w:val="auto"/>
        <w:rPr>
          <w:b/>
          <w:color w:val="000000" w:themeColor="text1"/>
          <w:sz w:val="16"/>
          <w:szCs w:val="16"/>
        </w:rPr>
      </w:pPr>
      <w:r>
        <w:drawing>
          <wp:anchor distT="0" distB="0" distL="114300" distR="114300" simplePos="0" relativeHeight="251660288" behindDoc="0" locked="0" layoutInCell="1" allowOverlap="1">
            <wp:simplePos x="0" y="0"/>
            <wp:positionH relativeFrom="column">
              <wp:posOffset>1520190</wp:posOffset>
            </wp:positionH>
            <wp:positionV relativeFrom="paragraph">
              <wp:posOffset>52070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 w:val="26"/>
          <w:szCs w:val="26"/>
        </w:rPr>
        <w:t>十四、审核组签字</w:t>
      </w:r>
    </w:p>
    <w:p>
      <w:pPr>
        <w:keepNext w:val="0"/>
        <w:keepLines w:val="0"/>
        <w:pageBreakBefore w:val="0"/>
        <w:widowControl w:val="0"/>
        <w:kinsoku/>
        <w:wordWrap/>
        <w:overflowPunct/>
        <w:topLinePunct w:val="0"/>
        <w:autoSpaceDE/>
        <w:autoSpaceDN/>
        <w:bidi w:val="0"/>
        <w:adjustRightInd/>
        <w:snapToGrid w:val="0"/>
        <w:spacing w:afterLines="50" w:line="340" w:lineRule="exact"/>
        <w:ind w:left="1" w:leftChars="-32" w:hanging="68" w:hangingChars="26"/>
        <w:textAlignment w:val="auto"/>
        <w:rPr>
          <w:rFonts w:hint="eastAsia"/>
          <w:b/>
          <w:color w:val="000000" w:themeColor="text1"/>
          <w:sz w:val="26"/>
          <w:szCs w:val="26"/>
        </w:rPr>
      </w:pPr>
      <w:r>
        <w:rPr>
          <w:rFonts w:hint="eastAsia"/>
          <w:b/>
          <w:color w:val="000000" w:themeColor="text1"/>
          <w:sz w:val="26"/>
          <w:szCs w:val="26"/>
        </w:rPr>
        <w:t>审核组组长（签名）：</w:t>
      </w:r>
      <w:r>
        <w:rPr>
          <w:rFonts w:hint="eastAsia"/>
          <w:b/>
          <w:color w:val="000000" w:themeColor="text1"/>
          <w:sz w:val="26"/>
          <w:szCs w:val="26"/>
          <w:lang w:val="en-US" w:eastAsia="zh-CN"/>
        </w:rPr>
        <w:t xml:space="preserve">吉洁 </w:t>
      </w:r>
    </w:p>
    <w:p>
      <w:pPr>
        <w:keepNext w:val="0"/>
        <w:keepLines w:val="0"/>
        <w:pageBreakBefore w:val="0"/>
        <w:widowControl w:val="0"/>
        <w:kinsoku/>
        <w:wordWrap/>
        <w:overflowPunct/>
        <w:topLinePunct w:val="0"/>
        <w:autoSpaceDE/>
        <w:autoSpaceDN/>
        <w:bidi w:val="0"/>
        <w:adjustRightInd/>
        <w:snapToGrid w:val="0"/>
        <w:spacing w:afterLines="50" w:line="340" w:lineRule="exact"/>
        <w:ind w:left="1" w:leftChars="-32" w:hanging="68" w:hangingChars="26"/>
        <w:textAlignment w:val="auto"/>
        <w:rPr>
          <w:rFonts w:hint="eastAsia"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w:t>
      </w:r>
    </w:p>
    <w:p>
      <w:pPr>
        <w:keepNext w:val="0"/>
        <w:keepLines w:val="0"/>
        <w:pageBreakBefore w:val="0"/>
        <w:widowControl w:val="0"/>
        <w:kinsoku/>
        <w:wordWrap/>
        <w:overflowPunct/>
        <w:topLinePunct w:val="0"/>
        <w:autoSpaceDE/>
        <w:autoSpaceDN/>
        <w:bidi w:val="0"/>
        <w:adjustRightInd/>
        <w:snapToGrid w:val="0"/>
        <w:spacing w:line="340" w:lineRule="exact"/>
        <w:ind w:firstLine="4975" w:firstLineChars="2360"/>
        <w:textAlignment w:val="auto"/>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bookmarkStart w:id="4" w:name="_GoBack"/>
      <w:bookmarkEnd w:id="4"/>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日</w:t>
      </w:r>
    </w:p>
    <w:p>
      <w:pPr>
        <w:keepNext w:val="0"/>
        <w:keepLines w:val="0"/>
        <w:pageBreakBefore w:val="0"/>
        <w:widowControl w:val="0"/>
        <w:kinsoku/>
        <w:wordWrap/>
        <w:overflowPunct/>
        <w:topLinePunct w:val="0"/>
        <w:autoSpaceDE/>
        <w:autoSpaceDN/>
        <w:bidi w:val="0"/>
        <w:adjustRightInd/>
        <w:spacing w:beforeLines="50" w:afterLines="50" w:line="340" w:lineRule="exact"/>
        <w:ind w:left="1" w:leftChars="-405" w:hanging="851" w:hangingChars="326"/>
        <w:textAlignment w:val="auto"/>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widowControl w:val="0"/>
        <w:kinsoku/>
        <w:wordWrap/>
        <w:overflowPunct/>
        <w:topLinePunct w:val="0"/>
        <w:autoSpaceDE/>
        <w:autoSpaceDN/>
        <w:bidi w:val="0"/>
        <w:adjustRightInd/>
        <w:snapToGrid w:val="0"/>
        <w:spacing w:beforeLines="50" w:afterLines="50" w:line="340" w:lineRule="exact"/>
        <w:ind w:leftChars="-202" w:hanging="424" w:hangingChars="201"/>
        <w:textAlignment w:val="auto"/>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34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0</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34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0</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340" w:lineRule="exact"/>
        <w:textAlignment w:val="auto"/>
        <w:rPr>
          <w:b/>
          <w:color w:val="000000" w:themeColor="text1"/>
          <w:szCs w:val="21"/>
          <w:u w:val="single"/>
        </w:rPr>
      </w:pPr>
      <w:r>
        <w:rPr>
          <w:rFonts w:hint="eastAsia"/>
          <w:b/>
          <w:color w:val="000000" w:themeColor="text1"/>
          <w:szCs w:val="21"/>
        </w:rPr>
        <w:t>存在问题说明及意见：</w:t>
      </w:r>
    </w:p>
    <w:p>
      <w:pPr>
        <w:keepNext w:val="0"/>
        <w:keepLines w:val="0"/>
        <w:pageBreakBefore w:val="0"/>
        <w:widowControl w:val="0"/>
        <w:kinsoku/>
        <w:wordWrap/>
        <w:overflowPunct/>
        <w:topLinePunct w:val="0"/>
        <w:autoSpaceDE/>
        <w:autoSpaceDN/>
        <w:bidi w:val="0"/>
        <w:adjustRightInd/>
        <w:spacing w:afterLines="50" w:line="340" w:lineRule="exact"/>
        <w:ind w:leftChars="-202" w:hanging="424" w:hangingChars="201"/>
        <w:textAlignment w:val="auto"/>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keepNext w:val="0"/>
        <w:keepLines w:val="0"/>
        <w:pageBreakBefore w:val="0"/>
        <w:widowControl w:val="0"/>
        <w:kinsoku/>
        <w:wordWrap/>
        <w:overflowPunct/>
        <w:topLinePunct w:val="0"/>
        <w:autoSpaceDE/>
        <w:autoSpaceDN/>
        <w:bidi w:val="0"/>
        <w:adjustRightInd/>
        <w:spacing w:line="340" w:lineRule="exact"/>
        <w:ind w:firstLine="763" w:firstLineChars="400"/>
        <w:textAlignment w:val="auto"/>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keepNext w:val="0"/>
        <w:keepLines w:val="0"/>
        <w:pageBreakBefore w:val="0"/>
        <w:widowControl w:val="0"/>
        <w:kinsoku/>
        <w:wordWrap/>
        <w:overflowPunct/>
        <w:topLinePunct w:val="0"/>
        <w:autoSpaceDE/>
        <w:autoSpaceDN/>
        <w:bidi w:val="0"/>
        <w:adjustRightInd/>
        <w:spacing w:beforeLines="100" w:afterLines="50" w:line="340" w:lineRule="exact"/>
        <w:textAlignment w:val="auto"/>
        <w:rPr>
          <w:b/>
          <w:color w:val="000000" w:themeColor="text1"/>
          <w:szCs w:val="21"/>
        </w:rPr>
      </w:pPr>
      <w:r>
        <w:drawing>
          <wp:anchor distT="0" distB="0" distL="114300" distR="114300" simplePos="0" relativeHeight="251661312" behindDoc="0" locked="0" layoutInCell="1" allowOverlap="1">
            <wp:simplePos x="0" y="0"/>
            <wp:positionH relativeFrom="column">
              <wp:posOffset>622300</wp:posOffset>
            </wp:positionH>
            <wp:positionV relativeFrom="paragraph">
              <wp:posOffset>45720</wp:posOffset>
            </wp:positionV>
            <wp:extent cx="1156335" cy="467995"/>
            <wp:effectExtent l="0" t="0" r="12065"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吉洁</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日期:</w:t>
      </w:r>
      <w:r>
        <w:rPr>
          <w:rFonts w:hint="eastAsia"/>
          <w:b/>
          <w:color w:val="000000" w:themeColor="text1"/>
          <w:szCs w:val="21"/>
          <w:lang w:val="en-US" w:eastAsia="zh-CN"/>
        </w:rPr>
        <w:t xml:space="preserve">    2020</w:t>
      </w:r>
      <w:r>
        <w:rPr>
          <w:rFonts w:hint="eastAsia"/>
          <w:b/>
          <w:color w:val="000000" w:themeColor="text1"/>
          <w:szCs w:val="21"/>
        </w:rPr>
        <w:t>年</w:t>
      </w:r>
      <w:r>
        <w:rPr>
          <w:rFonts w:hint="eastAsia"/>
          <w:b/>
          <w:color w:val="000000" w:themeColor="text1"/>
          <w:szCs w:val="21"/>
          <w:lang w:val="en-US" w:eastAsia="zh-CN"/>
        </w:rPr>
        <w:t>12</w:t>
      </w:r>
      <w:r>
        <w:rPr>
          <w:rFonts w:hint="eastAsia"/>
          <w:b/>
          <w:color w:val="000000" w:themeColor="text1"/>
          <w:szCs w:val="21"/>
        </w:rPr>
        <w:t>月</w:t>
      </w:r>
      <w:r>
        <w:rPr>
          <w:rFonts w:hint="eastAsia"/>
          <w:b/>
          <w:color w:val="000000" w:themeColor="text1"/>
          <w:szCs w:val="21"/>
          <w:lang w:val="en-US" w:eastAsia="zh-CN"/>
        </w:rPr>
        <w:t>6</w:t>
      </w:r>
      <w:r>
        <w:rPr>
          <w:rFonts w:hint="eastAsia"/>
          <w:b/>
          <w:color w:val="000000" w:themeColor="text1"/>
          <w:szCs w:val="21"/>
        </w:rPr>
        <w:t>日</w:t>
      </w:r>
    </w:p>
    <w:p>
      <w:pPr>
        <w:keepNext w:val="0"/>
        <w:keepLines w:val="0"/>
        <w:pageBreakBefore w:val="0"/>
        <w:widowControl w:val="0"/>
        <w:kinsoku/>
        <w:wordWrap/>
        <w:overflowPunct/>
        <w:topLinePunct w:val="0"/>
        <w:autoSpaceDE/>
        <w:autoSpaceDN/>
        <w:bidi w:val="0"/>
        <w:adjustRightInd/>
        <w:spacing w:line="340" w:lineRule="exact"/>
        <w:ind w:leftChars="-405" w:hanging="850" w:hangingChars="403"/>
        <w:textAlignment w:val="auto"/>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40" w:lineRule="exact"/>
        <w:ind w:left="202" w:leftChars="-405" w:hanging="1052" w:hangingChars="403"/>
        <w:textAlignment w:val="auto"/>
        <w:rPr>
          <w:rFonts w:hint="eastAsia"/>
          <w:b/>
          <w:color w:val="000000" w:themeColor="text1"/>
          <w:sz w:val="26"/>
          <w:szCs w:val="26"/>
        </w:rPr>
      </w:pPr>
      <w:r>
        <w:rPr>
          <w:rFonts w:hint="eastAsia"/>
          <w:b/>
          <w:color w:val="000000" w:themeColor="text1"/>
          <w:sz w:val="26"/>
          <w:szCs w:val="26"/>
        </w:rPr>
        <w:t>十六、认证评定与批准</w:t>
      </w:r>
    </w:p>
    <w:p>
      <w:pPr>
        <w:keepNext w:val="0"/>
        <w:keepLines w:val="0"/>
        <w:pageBreakBefore w:val="0"/>
        <w:widowControl w:val="0"/>
        <w:numPr>
          <w:ilvl w:val="0"/>
          <w:numId w:val="0"/>
        </w:numPr>
        <w:kinsoku/>
        <w:wordWrap/>
        <w:overflowPunct/>
        <w:topLinePunct w:val="0"/>
        <w:autoSpaceDE/>
        <w:autoSpaceDN/>
        <w:bidi w:val="0"/>
        <w:adjustRightInd/>
        <w:spacing w:line="340" w:lineRule="exact"/>
        <w:ind w:leftChars="-808" w:firstLine="1265" w:firstLineChars="600"/>
        <w:textAlignment w:val="auto"/>
        <w:rPr>
          <w:rFonts w:hint="eastAsia"/>
          <w:b/>
          <w:color w:val="000000" w:themeColor="text1"/>
        </w:rPr>
      </w:pPr>
      <w:r>
        <w:rPr>
          <w:rFonts w:hint="eastAsia"/>
          <w:b/>
          <w:color w:val="000000" w:themeColor="text1"/>
          <w:lang w:val="en-US" w:eastAsia="zh-CN"/>
        </w:rPr>
        <w:t>1.</w:t>
      </w: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widowControl w:val="0"/>
        <w:kinsoku/>
        <w:wordWrap/>
        <w:overflowPunct/>
        <w:topLinePunct w:val="0"/>
        <w:autoSpaceDE/>
        <w:autoSpaceDN/>
        <w:bidi w:val="0"/>
        <w:adjustRightInd/>
        <w:spacing w:line="340" w:lineRule="exact"/>
        <w:ind w:left="-4" w:leftChars="-2" w:firstLine="0" w:firstLineChars="0"/>
        <w:textAlignment w:val="auto"/>
        <w:rPr>
          <w:rFonts w:hint="eastAsia"/>
          <w:b/>
          <w:color w:val="000000" w:themeColor="text1"/>
          <w:lang w:val="en-US" w:eastAsia="zh-CN"/>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widowControl w:val="0"/>
        <w:numPr>
          <w:ilvl w:val="0"/>
          <w:numId w:val="0"/>
        </w:numPr>
        <w:kinsoku/>
        <w:wordWrap/>
        <w:overflowPunct/>
        <w:topLinePunct w:val="0"/>
        <w:autoSpaceDE/>
        <w:autoSpaceDN/>
        <w:bidi w:val="0"/>
        <w:adjustRightInd/>
        <w:spacing w:line="340" w:lineRule="exact"/>
        <w:ind w:leftChars="-808" w:firstLine="1265" w:firstLineChars="600"/>
        <w:textAlignment w:val="auto"/>
        <w:rPr>
          <w:rFonts w:hint="eastAsia"/>
          <w:b/>
          <w:color w:val="000000" w:themeColor="text1"/>
        </w:rPr>
      </w:pPr>
      <w:r>
        <w:rPr>
          <w:rFonts w:hint="eastAsia"/>
          <w:b/>
          <w:color w:val="000000" w:themeColor="text1"/>
          <w:lang w:val="en-US" w:eastAsia="zh-CN"/>
        </w:rPr>
        <w:t>2.</w:t>
      </w: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widowControl w:val="0"/>
        <w:kinsoku/>
        <w:wordWrap/>
        <w:overflowPunct/>
        <w:topLinePunct w:val="0"/>
        <w:autoSpaceDE/>
        <w:autoSpaceDN/>
        <w:bidi w:val="0"/>
        <w:adjustRightInd/>
        <w:spacing w:line="340" w:lineRule="exact"/>
        <w:textAlignment w:val="auto"/>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widowControl w:val="0"/>
        <w:kinsoku/>
        <w:wordWrap/>
        <w:overflowPunct/>
        <w:topLinePunct w:val="0"/>
        <w:autoSpaceDE/>
        <w:autoSpaceDN/>
        <w:bidi w:val="0"/>
        <w:adjustRightInd/>
        <w:snapToGrid w:val="0"/>
        <w:spacing w:line="340" w:lineRule="exact"/>
        <w:ind w:left="202" w:leftChars="-405" w:hanging="1052" w:hangingChars="403"/>
        <w:textAlignment w:val="auto"/>
        <w:rPr>
          <w:rFonts w:hint="eastAsia"/>
          <w:b/>
          <w:color w:val="000000" w:themeColor="text1"/>
          <w:sz w:val="26"/>
          <w:szCs w:val="26"/>
        </w:rPr>
      </w:pPr>
    </w:p>
    <w:p>
      <w:pPr>
        <w:keepNext w:val="0"/>
        <w:keepLines w:val="0"/>
        <w:pageBreakBefore w:val="0"/>
        <w:widowControl w:val="0"/>
        <w:kinsoku/>
        <w:wordWrap/>
        <w:overflowPunct/>
        <w:topLinePunct w:val="0"/>
        <w:autoSpaceDE/>
        <w:autoSpaceDN/>
        <w:bidi w:val="0"/>
        <w:adjustRightInd/>
        <w:snapToGrid w:val="0"/>
        <w:spacing w:line="340" w:lineRule="exact"/>
        <w:ind w:left="202" w:leftChars="-405" w:hanging="1052" w:hangingChars="403"/>
        <w:textAlignment w:val="auto"/>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b/>
          <w:color w:val="000000" w:themeColor="text1"/>
          <w:szCs w:val="21"/>
          <w:u w:val="single"/>
        </w:rPr>
      </w:pPr>
    </w:p>
    <w:p>
      <w:pPr>
        <w:keepNext w:val="0"/>
        <w:keepLines w:val="0"/>
        <w:pageBreakBefore w:val="0"/>
        <w:widowControl w:val="0"/>
        <w:kinsoku/>
        <w:wordWrap/>
        <w:overflowPunct/>
        <w:topLinePunct w:val="0"/>
        <w:autoSpaceDE/>
        <w:autoSpaceDN/>
        <w:bidi w:val="0"/>
        <w:adjustRightInd/>
        <w:spacing w:beforeLines="50" w:afterLines="50" w:line="340" w:lineRule="exact"/>
        <w:ind w:left="1" w:leftChars="-405" w:hanging="851" w:hangingChars="326"/>
        <w:textAlignment w:val="auto"/>
        <w:rPr>
          <w:b/>
          <w:color w:val="000000" w:themeColor="text1"/>
          <w:sz w:val="26"/>
          <w:szCs w:val="26"/>
        </w:rPr>
      </w:pPr>
      <w:r>
        <w:rPr>
          <w:rFonts w:hint="eastAsia"/>
          <w:b/>
          <w:color w:val="000000" w:themeColor="text1"/>
          <w:sz w:val="26"/>
          <w:szCs w:val="26"/>
        </w:rPr>
        <w:t>十八、审核报告的发放范围：</w:t>
      </w:r>
    </w:p>
    <w:p>
      <w:pPr>
        <w:keepNext w:val="0"/>
        <w:keepLines w:val="0"/>
        <w:pageBreakBefore w:val="0"/>
        <w:widowControl w:val="0"/>
        <w:kinsoku/>
        <w:wordWrap/>
        <w:overflowPunct/>
        <w:topLinePunct w:val="0"/>
        <w:autoSpaceDE/>
        <w:autoSpaceDN/>
        <w:bidi w:val="0"/>
        <w:adjustRightInd/>
        <w:snapToGrid w:val="0"/>
        <w:spacing w:beforeLines="20" w:afterLines="20" w:line="340" w:lineRule="exact"/>
        <w:ind w:left="-164" w:leftChars="-78" w:firstLine="162" w:firstLineChars="77"/>
        <w:textAlignment w:val="auto"/>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keepNext w:val="0"/>
        <w:keepLines w:val="0"/>
        <w:pageBreakBefore w:val="0"/>
        <w:widowControl w:val="0"/>
        <w:kinsoku/>
        <w:wordWrap/>
        <w:overflowPunct/>
        <w:topLinePunct w:val="0"/>
        <w:autoSpaceDE/>
        <w:autoSpaceDN/>
        <w:bidi w:val="0"/>
        <w:adjustRightInd/>
        <w:snapToGrid w:val="0"/>
        <w:spacing w:beforeLines="20" w:afterLines="20" w:line="340" w:lineRule="exact"/>
        <w:ind w:left="-164" w:leftChars="-78" w:firstLine="162" w:firstLineChars="77"/>
        <w:textAlignment w:val="auto"/>
        <w:rPr>
          <w:rFonts w:hint="eastAsia" w:ascii="宋体" w:hAnsi="宋体"/>
          <w:b/>
          <w:color w:val="000000" w:themeColor="text1"/>
          <w:sz w:val="26"/>
          <w:szCs w:val="26"/>
        </w:rPr>
      </w:pPr>
      <w:r>
        <w:rPr>
          <w:rFonts w:hint="eastAsia"/>
          <w:b/>
          <w:color w:val="000000" w:themeColor="text1"/>
        </w:rPr>
        <w:t>北京国标联合认证有限公司：1份</w:t>
      </w:r>
    </w:p>
    <w:p>
      <w:pPr>
        <w:keepNext w:val="0"/>
        <w:keepLines w:val="0"/>
        <w:pageBreakBefore w:val="0"/>
        <w:widowControl w:val="0"/>
        <w:kinsoku/>
        <w:wordWrap/>
        <w:overflowPunct/>
        <w:topLinePunct w:val="0"/>
        <w:autoSpaceDE/>
        <w:autoSpaceDN/>
        <w:bidi w:val="0"/>
        <w:adjustRightInd/>
        <w:snapToGrid w:val="0"/>
        <w:spacing w:beforeLines="50" w:afterLines="50" w:line="340" w:lineRule="exact"/>
        <w:ind w:left="1" w:leftChars="-405" w:hanging="851" w:hangingChars="326"/>
        <w:textAlignment w:val="auto"/>
        <w:rPr>
          <w:rFonts w:ascii="宋体" w:hAnsi="宋体"/>
          <w:b/>
          <w:color w:val="000000" w:themeColor="text1"/>
          <w:sz w:val="26"/>
          <w:szCs w:val="26"/>
        </w:rPr>
      </w:pPr>
      <w:r>
        <w:rPr>
          <w:rFonts w:hint="eastAsia" w:ascii="宋体" w:hAnsi="宋体"/>
          <w:b/>
          <w:color w:val="000000" w:themeColor="text1"/>
          <w:sz w:val="26"/>
          <w:szCs w:val="26"/>
        </w:rPr>
        <w:t>十九、附件</w:t>
      </w:r>
    </w:p>
    <w:p>
      <w:pPr>
        <w:keepNext w:val="0"/>
        <w:keepLines w:val="0"/>
        <w:pageBreakBefore w:val="0"/>
        <w:widowControl w:val="0"/>
        <w:kinsoku/>
        <w:wordWrap/>
        <w:overflowPunct/>
        <w:topLinePunct w:val="0"/>
        <w:autoSpaceDE/>
        <w:autoSpaceDN/>
        <w:bidi w:val="0"/>
        <w:adjustRightInd/>
        <w:snapToGrid w:val="0"/>
        <w:spacing w:line="340" w:lineRule="exact"/>
        <w:ind w:left="-164" w:leftChars="-78" w:firstLine="162" w:firstLineChars="77"/>
        <w:textAlignment w:val="auto"/>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keepNext w:val="0"/>
        <w:keepLines w:val="0"/>
        <w:pageBreakBefore w:val="0"/>
        <w:widowControl w:val="0"/>
        <w:kinsoku/>
        <w:wordWrap/>
        <w:overflowPunct/>
        <w:topLinePunct w:val="0"/>
        <w:autoSpaceDE/>
        <w:autoSpaceDN/>
        <w:bidi w:val="0"/>
        <w:adjustRightInd/>
        <w:spacing w:line="340" w:lineRule="exact"/>
        <w:ind w:left="-164" w:leftChars="-78" w:firstLine="162" w:firstLineChars="77"/>
        <w:textAlignment w:val="auto"/>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keepNext w:val="0"/>
        <w:keepLines w:val="0"/>
        <w:pageBreakBefore w:val="0"/>
        <w:widowControl w:val="0"/>
        <w:kinsoku/>
        <w:wordWrap/>
        <w:overflowPunct/>
        <w:topLinePunct w:val="0"/>
        <w:autoSpaceDE/>
        <w:autoSpaceDN/>
        <w:bidi w:val="0"/>
        <w:adjustRightInd/>
        <w:spacing w:line="340" w:lineRule="exact"/>
        <w:ind w:left="-164" w:leftChars="-78" w:firstLine="162" w:firstLineChars="77"/>
        <w:textAlignment w:val="auto"/>
        <w:rPr>
          <w:rFonts w:ascii="宋体" w:hAnsi="宋体"/>
          <w:b/>
          <w:color w:val="000000" w:themeColor="text1"/>
          <w:sz w:val="26"/>
          <w:szCs w:val="26"/>
        </w:rPr>
      </w:pPr>
      <w:r>
        <w:rPr>
          <w:b/>
          <w:bCs/>
          <w:color w:val="000000" w:themeColor="text1"/>
          <w:szCs w:val="28"/>
        </w:rPr>
        <w:t xml:space="preserve">3. </w:t>
      </w:r>
      <w:r>
        <w:rPr>
          <w:rFonts w:hint="eastAsia" w:ascii="宋体" w:hAnsi="宋体"/>
          <w:b/>
          <w:bCs/>
          <w:color w:val="000000" w:themeColor="text1"/>
          <w:szCs w:val="28"/>
        </w:rPr>
        <w:t>其他</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u w:val="none"/>
      </w:rPr>
    </w:pPr>
    <w:bookmarkStart w:id="3" w:name="_Hlk8555230"/>
    <w:r>
      <w:rPr>
        <w:u w:val="none"/>
      </w:rPr>
      <w:pict>
        <v:shape id="文本框 1" o:spid="_x0000_s2050" o:spt="202" type="#_x0000_t202" style="position:absolute;left:0pt;margin-left:250.6pt;margin-top:-0.5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rPr>
        <w:u w:val="none"/>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u w:val="none"/>
      </w:rPr>
      <w:t>北京国标联合认证有限公司</w:t>
    </w:r>
    <w:r>
      <w:rPr>
        <w:rStyle w:val="17"/>
        <w:rFonts w:hint="default"/>
        <w:u w:val="none"/>
      </w:rPr>
      <w:tab/>
    </w:r>
    <w:r>
      <w:rPr>
        <w:rStyle w:val="17"/>
        <w:rFonts w:hint="default"/>
        <w:u w:val="none"/>
      </w:rPr>
      <w:tab/>
    </w:r>
    <w:r>
      <w:rPr>
        <w:rStyle w:val="17"/>
        <w:rFonts w:hint="default"/>
        <w:u w:val="none"/>
      </w:rPr>
      <w:tab/>
    </w:r>
    <w:bookmarkEnd w:id="3"/>
  </w:p>
  <w:p>
    <w:pPr>
      <w:pStyle w:val="5"/>
      <w:pBdr>
        <w:bottom w:val="single" w:color="auto" w:sz="4" w:space="0"/>
      </w:pBdr>
      <w:spacing w:line="320" w:lineRule="exact"/>
      <w:ind w:firstLine="756" w:firstLineChars="400"/>
      <w:jc w:val="left"/>
      <w:rPr>
        <w:u w:val="none"/>
      </w:rPr>
    </w:pPr>
    <w:r>
      <w:rPr>
        <w:rStyle w:val="17"/>
        <w:rFonts w:hint="default"/>
        <w:w w:val="90"/>
        <w:u w:val="none"/>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AD51E"/>
    <w:multiLevelType w:val="singleLevel"/>
    <w:tmpl w:val="86BAD51E"/>
    <w:lvl w:ilvl="0" w:tentative="0">
      <w:start w:val="6"/>
      <w:numFmt w:val="decimal"/>
      <w:lvlText w:val="%1."/>
      <w:lvlJc w:val="left"/>
      <w:pPr>
        <w:tabs>
          <w:tab w:val="left" w:pos="312"/>
        </w:tabs>
      </w:pPr>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364440EF"/>
    <w:multiLevelType w:val="singleLevel"/>
    <w:tmpl w:val="364440EF"/>
    <w:lvl w:ilvl="0" w:tentative="0">
      <w:start w:val="11"/>
      <w:numFmt w:val="chineseCounting"/>
      <w:suff w:val="nothing"/>
      <w:lvlText w:val="%1、"/>
      <w:lvlJc w:val="left"/>
      <w:rPr>
        <w:rFonts w:hint="eastAsia"/>
      </w:r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84E2E85"/>
    <w:rsid w:val="0BA13DE9"/>
    <w:rsid w:val="0BEC1E27"/>
    <w:rsid w:val="17D045EE"/>
    <w:rsid w:val="18D77FE3"/>
    <w:rsid w:val="1C440198"/>
    <w:rsid w:val="21611269"/>
    <w:rsid w:val="229447B7"/>
    <w:rsid w:val="22DF6A1C"/>
    <w:rsid w:val="262038F9"/>
    <w:rsid w:val="29A9333B"/>
    <w:rsid w:val="29E70823"/>
    <w:rsid w:val="36CF437D"/>
    <w:rsid w:val="37030DC4"/>
    <w:rsid w:val="372F4304"/>
    <w:rsid w:val="38DF2EB5"/>
    <w:rsid w:val="3AFE3AFE"/>
    <w:rsid w:val="3C6210A8"/>
    <w:rsid w:val="3E765DD6"/>
    <w:rsid w:val="3F9B4A9B"/>
    <w:rsid w:val="4B4A3A22"/>
    <w:rsid w:val="57A97EAC"/>
    <w:rsid w:val="5CDD1C2D"/>
    <w:rsid w:val="5CF54CBB"/>
    <w:rsid w:val="63AC66A7"/>
    <w:rsid w:val="6C6E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8260</Words>
  <Characters>9552</Characters>
  <Lines>36</Lines>
  <Paragraphs>10</Paragraphs>
  <TotalTime>1</TotalTime>
  <ScaleCrop>false</ScaleCrop>
  <LinksUpToDate>false</LinksUpToDate>
  <CharactersWithSpaces>9995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2019-06-15T02:36:00Z</cp:lastPrinted>
  <dcterms:modified xsi:type="dcterms:W3CDTF">2020-12-08T01:44:28Z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