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960"/>
        <w:gridCol w:w="745"/>
        <w:gridCol w:w="92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vAlign w:val="center"/>
          </w:tcPr>
          <w:p>
            <w:pP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rPr>
              <w:t>陪同人员：</w:t>
            </w:r>
            <w:r>
              <w:rPr>
                <w:rFonts w:hint="eastAsia"/>
                <w:sz w:val="24"/>
                <w:szCs w:val="24"/>
                <w:lang w:val="en-US" w:eastAsia="zh-CN"/>
              </w:rPr>
              <w:t>蔡会涛</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vMerge w:val="continue"/>
            <w:vAlign w:val="center"/>
          </w:tcPr>
          <w:p/>
        </w:tc>
        <w:tc>
          <w:tcPr>
            <w:tcW w:w="960" w:type="dxa"/>
            <w:vMerge w:val="continue"/>
            <w:vAlign w:val="center"/>
          </w:tcPr>
          <w:p/>
        </w:tc>
        <w:tc>
          <w:tcPr>
            <w:tcW w:w="10001" w:type="dxa"/>
            <w:gridSpan w:val="2"/>
            <w:vAlign w:val="center"/>
          </w:tcPr>
          <w:p>
            <w:pPr>
              <w:spacing w:before="120"/>
            </w:pPr>
            <w:r>
              <w:rPr>
                <w:rFonts w:hint="eastAsia"/>
                <w:sz w:val="24"/>
                <w:szCs w:val="24"/>
              </w:rPr>
              <w:t xml:space="preserve">审核员：张静、陈丽丹        </w:t>
            </w:r>
            <w:r>
              <w:rPr>
                <w:sz w:val="24"/>
                <w:szCs w:val="24"/>
              </w:rPr>
              <w:t xml:space="preserve">            </w:t>
            </w:r>
            <w:r>
              <w:rPr>
                <w:rFonts w:hint="eastAsia"/>
                <w:sz w:val="24"/>
                <w:szCs w:val="24"/>
              </w:rPr>
              <w:t>审核日期：</w:t>
            </w:r>
            <w:r>
              <w:rPr>
                <w:sz w:val="24"/>
                <w:szCs w:val="24"/>
              </w:rPr>
              <w:t xml:space="preserve"> 2020</w:t>
            </w:r>
            <w:r>
              <w:rPr>
                <w:rFonts w:hint="eastAsia"/>
                <w:sz w:val="24"/>
                <w:szCs w:val="24"/>
              </w:rPr>
              <w:t>-</w:t>
            </w:r>
            <w:r>
              <w:rPr>
                <w:sz w:val="24"/>
                <w:szCs w:val="24"/>
              </w:rPr>
              <w:t>1</w:t>
            </w:r>
            <w:r>
              <w:rPr>
                <w:rFonts w:hint="eastAsia"/>
                <w:sz w:val="24"/>
                <w:szCs w:val="24"/>
              </w:rPr>
              <w:t>2-02</w:t>
            </w:r>
            <w:r>
              <w:rPr>
                <w:sz w:val="24"/>
                <w:szCs w:val="24"/>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vMerge w:val="continue"/>
            <w:vAlign w:val="center"/>
          </w:tcPr>
          <w:p/>
        </w:tc>
        <w:tc>
          <w:tcPr>
            <w:tcW w:w="960" w:type="dxa"/>
            <w:vMerge w:val="continue"/>
            <w:vAlign w:val="center"/>
          </w:tcPr>
          <w:p/>
        </w:tc>
        <w:tc>
          <w:tcPr>
            <w:tcW w:w="10001" w:type="dxa"/>
            <w:gridSpan w:val="2"/>
            <w:vAlign w:val="center"/>
          </w:tcPr>
          <w:p>
            <w:pPr>
              <w:tabs>
                <w:tab w:val="left" w:pos="709"/>
              </w:tabs>
              <w:ind w:right="57"/>
              <w:jc w:val="left"/>
              <w:rPr>
                <w:szCs w:val="21"/>
              </w:rPr>
            </w:pPr>
            <w:r>
              <w:rPr>
                <w:rFonts w:hint="eastAsia"/>
                <w:sz w:val="24"/>
                <w:szCs w:val="24"/>
              </w:rPr>
              <w:t>审核条款：</w:t>
            </w:r>
            <w:r>
              <w:rPr>
                <w:rFonts w:hint="eastAsia"/>
                <w:szCs w:val="21"/>
              </w:rPr>
              <w:t xml:space="preserve">QMS：4.1/4.2 /4.3/ 4.4/ </w:t>
            </w:r>
            <w:r>
              <w:rPr>
                <w:szCs w:val="21"/>
              </w:rPr>
              <w:t>5.1</w:t>
            </w:r>
            <w:r>
              <w:rPr>
                <w:rFonts w:hint="eastAsia"/>
                <w:szCs w:val="21"/>
              </w:rPr>
              <w:t>/</w:t>
            </w:r>
            <w:r>
              <w:rPr>
                <w:szCs w:val="21"/>
              </w:rPr>
              <w:t>5.2</w:t>
            </w:r>
            <w:r>
              <w:rPr>
                <w:rFonts w:hint="eastAsia"/>
                <w:szCs w:val="21"/>
              </w:rPr>
              <w:t xml:space="preserve">/ </w:t>
            </w:r>
            <w:r>
              <w:rPr>
                <w:szCs w:val="21"/>
              </w:rPr>
              <w:t>5.3</w:t>
            </w:r>
            <w:r>
              <w:rPr>
                <w:rFonts w:hint="eastAsia"/>
                <w:szCs w:val="21"/>
              </w:rPr>
              <w:t>/6.1/6.2/</w:t>
            </w:r>
            <w:r>
              <w:rPr>
                <w:szCs w:val="21"/>
              </w:rPr>
              <w:t>6.3</w:t>
            </w:r>
            <w:r>
              <w:rPr>
                <w:rFonts w:hint="eastAsia"/>
                <w:szCs w:val="21"/>
              </w:rPr>
              <w:t>/</w:t>
            </w:r>
            <w:r>
              <w:rPr>
                <w:szCs w:val="21"/>
              </w:rPr>
              <w:t>7</w:t>
            </w:r>
            <w:r>
              <w:rPr>
                <w:rFonts w:hint="eastAsia"/>
                <w:szCs w:val="21"/>
              </w:rPr>
              <w:t>.1.1/7.4/9.1.1/9.3/10.1/10.3</w:t>
            </w:r>
          </w:p>
          <w:p>
            <w:pPr>
              <w:spacing w:before="120"/>
              <w:ind w:firstLine="1200" w:firstLineChars="500"/>
              <w:rPr>
                <w:szCs w:val="21"/>
              </w:rPr>
            </w:pPr>
            <w:r>
              <w:rPr>
                <w:rFonts w:hint="eastAsia"/>
                <w:sz w:val="24"/>
                <w:szCs w:val="24"/>
              </w:rPr>
              <w:t>FSMS：4.1/4.2/4.3/4.4/5.1/5.2/5.3/6.1/6.2/6.3/7.1.1/7.4/9.1.1/9.3/10.2</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理解组织及其环境</w:t>
            </w:r>
          </w:p>
        </w:tc>
        <w:tc>
          <w:tcPr>
            <w:tcW w:w="960" w:type="dxa"/>
            <w:vMerge w:val="restart"/>
          </w:tcPr>
          <w:p>
            <w:r>
              <w:rPr>
                <w:rFonts w:hint="eastAsia"/>
              </w:rPr>
              <w:t xml:space="preserve">Q4.1 </w:t>
            </w:r>
          </w:p>
          <w:p>
            <w:r>
              <w:rPr>
                <w:rFonts w:hint="eastAsia"/>
              </w:rPr>
              <w:t>F4.1</w:t>
            </w:r>
          </w:p>
        </w:tc>
        <w:tc>
          <w:tcPr>
            <w:tcW w:w="745" w:type="dxa"/>
          </w:tcPr>
          <w:p>
            <w:r>
              <w:rPr>
                <w:rFonts w:hint="eastAsia"/>
              </w:rPr>
              <w:t>文件名称</w:t>
            </w:r>
          </w:p>
        </w:tc>
        <w:tc>
          <w:tcPr>
            <w:tcW w:w="9256" w:type="dxa"/>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《公司环境分析控制程序 》</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政局稳定， 经济大环境好。 目前国内政局稳定,国家大力发展国民经济， 着力提高人民生活水平,为企业提供了良好的发展环境。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szCs w:val="22"/>
                    </w:rPr>
                    <w:t>员工队伍相对稳定，实行资源调整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hint="eastAsia"/>
                    </w:rPr>
                    <w:t>地理位置属交通发达地区，有较强的竞争力；</w:t>
                  </w:r>
                </w:p>
                <w:p>
                  <w:r>
                    <w:rPr>
                      <w:rFonts w:hint="eastAsia"/>
                    </w:rPr>
                    <w:t>建立了行之有效的内部控制制度，会计基础工作较为完善；自有资金充足。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eastAsia" w:ascii="宋体" w:hAnsi="宋体" w:eastAsia="宋体"/>
                      <w:kern w:val="0"/>
                      <w:szCs w:val="21"/>
                      <w:lang w:eastAsia="zh-CN"/>
                    </w:rPr>
                  </w:pPr>
                  <w:r>
                    <w:rPr>
                      <w:rFonts w:ascii="宋体" w:hAnsi="宋体"/>
                      <w:kern w:val="0"/>
                      <w:szCs w:val="21"/>
                    </w:rPr>
                    <w:t>管理制度待完善</w:t>
                  </w:r>
                  <w:r>
                    <w:rPr>
                      <w:rFonts w:hint="eastAsia" w:ascii="宋体" w:hAnsi="宋体"/>
                      <w:kern w:val="0"/>
                      <w:szCs w:val="21"/>
                    </w:rPr>
                    <w:t>，</w:t>
                  </w:r>
                  <w:r>
                    <w:rPr>
                      <w:rFonts w:ascii="宋体" w:hAnsi="宋体"/>
                      <w:kern w:val="0"/>
                      <w:szCs w:val="21"/>
                    </w:rPr>
                    <w:t>运行效率待提高</w:t>
                  </w:r>
                  <w:r>
                    <w:rPr>
                      <w:rFonts w:hint="eastAsia" w:ascii="宋体" w:hAnsi="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rPr>
                    <w:t>人力资源需要进行调整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rPr>
                    <w:t>建立了行之有效的内部控制制度，会计基础工作较为完善；自有资金充足。</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理解相关方的需求和期望</w:t>
            </w:r>
          </w:p>
        </w:tc>
        <w:tc>
          <w:tcPr>
            <w:tcW w:w="960" w:type="dxa"/>
            <w:vMerge w:val="restart"/>
          </w:tcPr>
          <w:p>
            <w:r>
              <w:rPr>
                <w:rFonts w:hint="eastAsia"/>
              </w:rPr>
              <w:t xml:space="preserve">Q4.2 </w:t>
            </w:r>
          </w:p>
          <w:p>
            <w:r>
              <w:rPr>
                <w:rFonts w:hint="eastAsia"/>
              </w:rPr>
              <w:t>F4.2</w:t>
            </w:r>
          </w:p>
        </w:tc>
        <w:tc>
          <w:tcPr>
            <w:tcW w:w="745" w:type="dxa"/>
          </w:tcPr>
          <w:p>
            <w:r>
              <w:rPr>
                <w:rFonts w:hint="eastAsia"/>
              </w:rPr>
              <w:t>文件名称</w:t>
            </w:r>
          </w:p>
        </w:tc>
        <w:tc>
          <w:tcPr>
            <w:tcW w:w="9256" w:type="dxa"/>
          </w:tcPr>
          <w:p>
            <w:r>
              <w:rPr>
                <w:rFonts w:hint="eastAsia"/>
              </w:rPr>
              <w:t>如：《相关方需求和期望控制程序》、管理手册第4.2章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w:t>
            </w:r>
          </w:p>
          <w:tbl>
            <w:tblPr>
              <w:tblStyle w:val="6"/>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rPr>
                    <w:t>石家庄市桥西区市场监督管理局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遵守质量/食品安全相关的法律法规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r>
                    <w:rPr>
                      <w:rFonts w:hint="eastAsia" w:ascii="宋体" w:hAnsi="宋体" w:cs="宋体"/>
                      <w:kern w:val="0"/>
                    </w:rPr>
                    <w:t>裕华区迎华酒店用品粮油调料批发部</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组织的持续经营、明示质量/食品安全采购要求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r>
                    <w:rPr>
                      <w:rFonts w:hint="eastAsia"/>
                    </w:rPr>
                    <w:t>☑顾客</w:t>
                  </w:r>
                </w:p>
              </w:tc>
              <w:tc>
                <w:tcPr>
                  <w:tcW w:w="2701" w:type="dxa"/>
                </w:tcPr>
                <w:p>
                  <w:pPr>
                    <w:rPr>
                      <w:rFonts w:hint="default" w:eastAsia="宋体"/>
                      <w:lang w:val="en-US" w:eastAsia="zh-CN"/>
                    </w:rPr>
                  </w:pPr>
                  <w:r>
                    <w:rPr>
                      <w:rFonts w:hint="eastAsia"/>
                      <w:szCs w:val="21"/>
                    </w:rPr>
                    <w:t>河北师范大学汇华学院</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pPr>
                    <w:rPr>
                      <w:rFonts w:hint="eastAsia" w:eastAsia="宋体"/>
                      <w:lang w:eastAsia="zh-CN"/>
                    </w:rPr>
                  </w:pPr>
                  <w:r>
                    <w:rPr>
                      <w:rFonts w:hint="eastAsia" w:ascii="宋体" w:hAnsi="宋体" w:cs="宋体"/>
                      <w:szCs w:val="21"/>
                      <w:lang w:val="en-US" w:eastAsia="zh-CN"/>
                    </w:rPr>
                    <w:t>学生</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52"/>
                  </w:r>
                  <w:r>
                    <w:rPr>
                      <w:rFonts w:hint="eastAsia"/>
                      <w:lang w:val="en-US" w:eastAsia="zh-CN"/>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确定质量/食品安全管理体系的范围</w:t>
            </w:r>
          </w:p>
        </w:tc>
        <w:tc>
          <w:tcPr>
            <w:tcW w:w="960" w:type="dxa"/>
            <w:vMerge w:val="restart"/>
          </w:tcPr>
          <w:p>
            <w:r>
              <w:rPr>
                <w:rFonts w:hint="eastAsia"/>
              </w:rPr>
              <w:t>Q4.3</w:t>
            </w:r>
          </w:p>
          <w:p>
            <w:r>
              <w:rPr>
                <w:rFonts w:hint="eastAsia"/>
              </w:rPr>
              <w:t>F4.3</w:t>
            </w:r>
          </w:p>
        </w:tc>
        <w:tc>
          <w:tcPr>
            <w:tcW w:w="745" w:type="dxa"/>
          </w:tcPr>
          <w:p>
            <w:r>
              <w:rPr>
                <w:rFonts w:hint="eastAsia"/>
              </w:rPr>
              <w:t>文件名称</w:t>
            </w:r>
          </w:p>
        </w:tc>
        <w:tc>
          <w:tcPr>
            <w:tcW w:w="9256" w:type="dxa"/>
          </w:tcPr>
          <w:p>
            <w:r>
              <w:rPr>
                <w:rFonts w:hint="eastAsia"/>
              </w:rPr>
              <w:t>如：管理手册第4.3章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rFonts w:hint="eastAsia"/>
                      <w:szCs w:val="21"/>
                    </w:rPr>
                    <w:t>餐饮管理服务（热食类食品制售）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rPr>
                      <w:rFonts w:hint="default" w:eastAsia="宋体"/>
                      <w:szCs w:val="21"/>
                      <w:lang w:val="en-US" w:eastAsia="zh-CN"/>
                    </w:rPr>
                  </w:pPr>
                  <w:r>
                    <w:rPr>
                      <w:rFonts w:hint="eastAsia"/>
                      <w:szCs w:val="21"/>
                      <w:lang w:val="en-US" w:eastAsia="zh-CN"/>
                    </w:rPr>
                    <w:t xml:space="preserve">Q: </w:t>
                  </w:r>
                  <w:r>
                    <w:rPr>
                      <w:rFonts w:hint="eastAsia"/>
                      <w:szCs w:val="21"/>
                    </w:rPr>
                    <w:t>餐饮管理服务（热食类食品制售）</w:t>
                  </w:r>
                </w:p>
                <w:p>
                  <w:pPr>
                    <w:autoSpaceDE w:val="0"/>
                    <w:autoSpaceDN w:val="0"/>
                    <w:adjustRightInd w:val="0"/>
                    <w:jc w:val="left"/>
                  </w:pPr>
                  <w:r>
                    <w:rPr>
                      <w:rFonts w:hint="eastAsia"/>
                      <w:szCs w:val="21"/>
                      <w:lang w:val="en-US" w:eastAsia="zh-CN"/>
                    </w:rPr>
                    <w:t xml:space="preserve">F: </w:t>
                  </w:r>
                  <w:r>
                    <w:rPr>
                      <w:rFonts w:hint="eastAsia"/>
                      <w:szCs w:val="21"/>
                    </w:rPr>
                    <w:t>位于河北省石家庄市桥西区红旗大街469号河北师范大学汇华学院食堂（二层）</w:t>
                  </w:r>
                  <w:r>
                    <w:rPr>
                      <w:szCs w:val="21"/>
                    </w:rPr>
                    <w:t>的餐饮管理服务（热食类食品制售）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tcPr>
                <w:p>
                  <w:pPr>
                    <w:autoSpaceDE w:val="0"/>
                    <w:autoSpaceDN w:val="0"/>
                    <w:adjustRightInd w:val="0"/>
                    <w:jc w:val="left"/>
                    <w:rPr>
                      <w:rFonts w:hint="eastAsia"/>
                      <w:szCs w:val="21"/>
                      <w:lang w:val="en-US" w:eastAsia="zh-CN"/>
                    </w:rPr>
                  </w:pPr>
                  <w:r>
                    <w:rPr>
                      <w:rFonts w:hint="eastAsia"/>
                      <w:lang w:val="en-US" w:eastAsia="zh-CN"/>
                    </w:rPr>
                    <w:t>石</w:t>
                  </w:r>
                  <w:r>
                    <w:t>家庄新华区兴凯路109号1-2-101</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pPr>
                    <w:rPr>
                      <w:rFonts w:hint="eastAsia" w:eastAsia="宋体"/>
                      <w:lang w:val="en-US" w:eastAsia="zh-CN"/>
                    </w:rPr>
                  </w:pPr>
                  <w:r>
                    <w:rPr>
                      <w:rFonts w:hint="eastAsia"/>
                      <w:b w:val="0"/>
                      <w:bCs w:val="0"/>
                      <w:color w:val="auto"/>
                    </w:rPr>
                    <w:t>石家庄市红旗大街469号</w:t>
                  </w:r>
                  <w:r>
                    <w:rPr>
                      <w:rFonts w:hint="eastAsia"/>
                      <w:b w:val="0"/>
                      <w:bCs w:val="0"/>
                      <w:color w:val="auto"/>
                      <w:lang w:eastAsia="zh-CN"/>
                    </w:rPr>
                    <w:t>（</w:t>
                  </w:r>
                  <w:r>
                    <w:rPr>
                      <w:rFonts w:hint="eastAsia"/>
                      <w:b w:val="0"/>
                      <w:bCs w:val="0"/>
                      <w:color w:val="auto"/>
                      <w:lang w:val="en-US" w:eastAsia="zh-CN"/>
                    </w:rPr>
                    <w:t>二层</w:t>
                  </w:r>
                  <w:r>
                    <w:rPr>
                      <w:rFonts w:hint="eastAsia"/>
                      <w:b w:val="0"/>
                      <w:bCs w:val="0"/>
                      <w:color w:val="auto"/>
                      <w:lang w:eastAsia="zh-CN"/>
                    </w:rPr>
                    <w:t>）</w:t>
                  </w:r>
                  <w:r>
                    <w:rPr>
                      <w:rFonts w:hint="eastAsia"/>
                      <w:b w:val="0"/>
                      <w:bCs w:val="0"/>
                      <w:color w:val="auto"/>
                      <w:lang w:val="en-US" w:eastAsia="zh-CN"/>
                    </w:rPr>
                    <w:t>食堂</w:t>
                  </w:r>
                  <w:r>
                    <w:rPr>
                      <w:rFonts w:hint="eastAsia"/>
                      <w:b w:val="0"/>
                      <w:bCs w:val="0"/>
                      <w:color w:val="auto"/>
                      <w:lang w:eastAsia="zh-CN"/>
                    </w:rPr>
                    <w:t>（</w:t>
                  </w:r>
                  <w:r>
                    <w:rPr>
                      <w:rFonts w:hint="eastAsia"/>
                      <w:b w:val="0"/>
                      <w:bCs w:val="0"/>
                      <w:color w:val="auto"/>
                      <w:lang w:val="en-US" w:eastAsia="zh-CN"/>
                    </w:rPr>
                    <w:t>承包</w:t>
                  </w:r>
                  <w:r>
                    <w:rPr>
                      <w:rFonts w:hint="eastAsia"/>
                      <w:b w:val="0"/>
                      <w:bCs w:val="0"/>
                      <w:color w:val="auto"/>
                      <w:lang w:eastAsia="zh-CN"/>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t>0</w:t>
                  </w:r>
                  <w:r>
                    <w:rPr>
                      <w:rFonts w:hint="eastAsia"/>
                    </w:rPr>
                    <w:t>8-</w:t>
                  </w:r>
                  <w:r>
                    <w:t>01</w:t>
                  </w:r>
                </w:p>
                <w:p>
                  <w:r>
                    <w:rPr>
                      <w:rFonts w:hint="eastAsia"/>
                    </w:rPr>
                    <w:sym w:font="Wingdings" w:char="00A8"/>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jc w:val="left"/>
            </w:pPr>
            <w:r>
              <w:rPr>
                <w:rFonts w:hint="eastAsia"/>
              </w:rPr>
              <w:t>质量/食品安全管理体系及其过程</w:t>
            </w:r>
          </w:p>
        </w:tc>
        <w:tc>
          <w:tcPr>
            <w:tcW w:w="960" w:type="dxa"/>
            <w:vMerge w:val="restart"/>
          </w:tcPr>
          <w:p>
            <w:r>
              <w:rPr>
                <w:rFonts w:hint="eastAsia"/>
              </w:rPr>
              <w:t xml:space="preserve">Q4.4 F4.4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default"/>
                <w:lang w:val="en-US" w:eastAsia="zh-CN"/>
              </w:rPr>
            </w:pPr>
            <w:r>
              <w:rPr>
                <w:rFonts w:hint="eastAsia"/>
              </w:rPr>
              <w:t xml:space="preserve">□人员培训 □其他 </w:t>
            </w:r>
            <w:r>
              <w:t xml:space="preserve"> </w:t>
            </w:r>
            <w:r>
              <w:rPr>
                <w:rFonts w:hint="eastAsia"/>
              </w:rPr>
              <w:t>☑其他—</w:t>
            </w:r>
            <w:r>
              <w:rPr>
                <w:rFonts w:hint="eastAsia"/>
                <w:lang w:val="en-US" w:eastAsia="zh-CN"/>
              </w:rPr>
              <w:t>虫害控制外包、部分档口外包</w:t>
            </w: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t>□特种设备管理 ☑控制措施组合确认  ☑PRP和危害控制措施的效果验证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虫害控制外包、部分档口外包</w:t>
            </w:r>
          </w:p>
          <w:p>
            <w:pPr>
              <w:spacing w:before="40" w:after="40"/>
            </w:pPr>
            <w:r>
              <w:rPr>
                <w:rFonts w:hint="eastAsia"/>
              </w:rPr>
              <w:t xml:space="preserve"> </w:t>
            </w:r>
          </w:p>
          <w:p>
            <w:pPr>
              <w:spacing w:before="40" w:after="40"/>
              <w:jc w:val="left"/>
            </w:pP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6" w:type="dxa"/>
          </w:tcPr>
          <w:p>
            <w:r>
              <w:rPr>
                <w:rFonts w:hint="eastAsia"/>
              </w:rPr>
              <w:t>如：管理手册第5.1章和“总经理岗位职责”</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领导作用与承诺</w:t>
            </w:r>
          </w:p>
        </w:tc>
        <w:tc>
          <w:tcPr>
            <w:tcW w:w="960" w:type="dxa"/>
            <w:vMerge w:val="restart"/>
          </w:tcPr>
          <w:p>
            <w:r>
              <w:rPr>
                <w:rFonts w:hint="eastAsia"/>
              </w:rPr>
              <w:t>F5.1</w:t>
            </w:r>
          </w:p>
        </w:tc>
        <w:tc>
          <w:tcPr>
            <w:tcW w:w="745" w:type="dxa"/>
          </w:tcPr>
          <w:p>
            <w:r>
              <w:rPr>
                <w:rFonts w:hint="eastAsia"/>
              </w:rPr>
              <w:t>文件名称</w:t>
            </w:r>
          </w:p>
        </w:tc>
        <w:tc>
          <w:tcPr>
            <w:tcW w:w="9256" w:type="dxa"/>
          </w:tcPr>
          <w:p>
            <w:r>
              <w:rPr>
                <w:rFonts w:hint="eastAsia"/>
              </w:rPr>
              <w:t>如：管理手册第5.1章和“总经理岗位职责”</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shd w:val="clear" w:color="FFFFFF" w:fill="D9D9D9"/>
              </w:rPr>
            </w:pPr>
            <w:r>
              <w:rPr>
                <w:rFonts w:hint="eastAsia"/>
                <w:color w:val="000000"/>
                <w:szCs w:val="21"/>
                <w:shd w:val="clear" w:color="FFFFFF" w:fill="D9D9D9"/>
              </w:rPr>
              <w:t>2006版标准：（不适用）</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表明组织的经营目标支持食品安全</w:t>
            </w:r>
            <w:r>
              <w:rPr>
                <w:rFonts w:hint="eastAsia" w:ascii="黑体" w:hAnsi="宋体" w:eastAsia="黑体"/>
                <w:color w:val="000000"/>
                <w:szCs w:val="21"/>
              </w:rPr>
              <w:t>；</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向组织传达满足与食品安全相关的法律法规、本准则以及顾客要求的重要性</w:t>
            </w:r>
            <w:r>
              <w:rPr>
                <w:rFonts w:hint="eastAsia" w:ascii="黑体" w:hAnsi="宋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制定食品安全方针</w:t>
            </w:r>
            <w:r>
              <w:rPr>
                <w:rFonts w:hint="eastAsia" w:ascii="黑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进行管理评审</w:t>
            </w:r>
            <w:r>
              <w:rPr>
                <w:rFonts w:hint="eastAsia" w:ascii="黑体" w:eastAsia="黑体"/>
                <w:color w:val="000000"/>
                <w:szCs w:val="21"/>
              </w:rPr>
              <w:t>；</w:t>
            </w:r>
          </w:p>
          <w:p>
            <w:pPr>
              <w:snapToGrid w:val="0"/>
              <w:spacing w:line="240" w:lineRule="atLeast"/>
              <w:rPr>
                <w:rFonts w:ascii="黑体" w:eastAsia="黑体"/>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确保资源的获得。</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质量/食品安全方针</w:t>
            </w:r>
          </w:p>
        </w:tc>
        <w:tc>
          <w:tcPr>
            <w:tcW w:w="960" w:type="dxa"/>
            <w:vMerge w:val="restart"/>
          </w:tcPr>
          <w:p>
            <w:r>
              <w:rPr>
                <w:rFonts w:hint="eastAsia"/>
              </w:rPr>
              <w:t>Q5.2</w:t>
            </w:r>
          </w:p>
          <w:p>
            <w:r>
              <w:rPr>
                <w:rFonts w:hint="eastAsia"/>
              </w:rPr>
              <w:t>F5.2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管理手册第5.2章和“0.8 组织质量和食品安全方针与目标”</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u w:val="single"/>
              </w:rPr>
            </w:pPr>
            <w:r>
              <w:rPr>
                <w:rFonts w:hint="eastAsia"/>
                <w:color w:val="000000"/>
                <w:szCs w:val="21"/>
              </w:rPr>
              <w:t xml:space="preserve"> </w:t>
            </w:r>
            <w:r>
              <w:rPr>
                <w:rFonts w:hint="eastAsia"/>
              </w:rPr>
              <w:t>最高管理者制定了文件化的管理体系方针：</w:t>
            </w:r>
          </w:p>
          <w:p>
            <w:pPr>
              <w:rPr>
                <w:b/>
                <w:bCs/>
                <w:u w:val="single"/>
              </w:rPr>
            </w:pPr>
            <w:r>
              <w:rPr>
                <w:rFonts w:hint="eastAsia"/>
                <w:u w:val="single"/>
              </w:rPr>
              <w:t xml:space="preserve">  提供优质餐饮服务，确保食品卫生安全；创建绿色文明环境，持续改进管理体系</w:t>
            </w:r>
            <w:r>
              <w:rPr>
                <w:rFonts w:hint="eastAsia"/>
                <w:b/>
                <w:bCs/>
                <w:u w:val="single"/>
              </w:rPr>
              <w:t xml:space="preserve">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组织的岗位、职责和权限</w:t>
            </w:r>
          </w:p>
          <w:p/>
        </w:tc>
        <w:tc>
          <w:tcPr>
            <w:tcW w:w="960" w:type="dxa"/>
            <w:vMerge w:val="restart"/>
          </w:tcPr>
          <w:p>
            <w:r>
              <w:rPr>
                <w:rFonts w:hint="eastAsia"/>
              </w:rPr>
              <w:t>Q5.3 </w:t>
            </w:r>
          </w:p>
          <w:p>
            <w:r>
              <w:rPr>
                <w:rFonts w:hint="eastAsia"/>
              </w:rPr>
              <w:t>F5.3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餐饮服务部</w:t>
                  </w:r>
                </w:p>
              </w:tc>
              <w:tc>
                <w:tcPr>
                  <w:tcW w:w="2261" w:type="dxa"/>
                </w:tcPr>
                <w:p>
                  <w:r>
                    <w:rPr>
                      <w:rFonts w:hint="eastAsia"/>
                    </w:rPr>
                    <w:t>生产/服务提供过程</w:t>
                  </w:r>
                </w:p>
              </w:tc>
              <w:tc>
                <w:tcPr>
                  <w:tcW w:w="2261" w:type="dxa"/>
                </w:tcPr>
                <w:p>
                  <w:r>
                    <w:rPr>
                      <w:rFonts w:hint="eastAsia"/>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业务部</w:t>
                  </w:r>
                </w:p>
              </w:tc>
              <w:tc>
                <w:tcPr>
                  <w:tcW w:w="2261" w:type="dxa"/>
                </w:tcPr>
                <w:p>
                  <w:r>
                    <w:rPr>
                      <w:rFonts w:hint="eastAsia"/>
                    </w:rPr>
                    <w:t>生产/服务放行过程</w:t>
                  </w:r>
                </w:p>
              </w:tc>
              <w:tc>
                <w:tcPr>
                  <w:tcW w:w="2261" w:type="dxa"/>
                </w:tcPr>
                <w:p>
                  <w:r>
                    <w:rPr>
                      <w:rFonts w:hint="eastAsia"/>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tc>
              <w:tc>
                <w:tcPr>
                  <w:tcW w:w="2261" w:type="dxa"/>
                </w:tcPr>
                <w:p/>
              </w:tc>
              <w:tc>
                <w:tcPr>
                  <w:tcW w:w="2261" w:type="dxa"/>
                </w:tcPr>
                <w:p/>
              </w:tc>
              <w:tc>
                <w:tcPr>
                  <w:tcW w:w="2261" w:type="dxa"/>
                </w:tcPr>
                <w:p/>
              </w:tc>
            </w:tr>
          </w:tbl>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业务部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r>
                    <w:rPr>
                      <w:rFonts w:hint="eastAsia"/>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4" w:type="dxa"/>
          </w:tcPr>
          <w:p/>
        </w:tc>
        <w:tc>
          <w:tcPr>
            <w:tcW w:w="960" w:type="dxa"/>
          </w:tcPr>
          <w:p/>
        </w:tc>
        <w:tc>
          <w:tcPr>
            <w:tcW w:w="745" w:type="dxa"/>
          </w:tcPr>
          <w:p/>
        </w:tc>
        <w:tc>
          <w:tcPr>
            <w:tcW w:w="9256" w:type="dxa"/>
          </w:tcPr>
          <w:p>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u w:val="single"/>
              </w:rPr>
              <w:t>姚新军</w:t>
            </w:r>
            <w:r>
              <w:rPr>
                <w:rFonts w:hint="eastAsia"/>
                <w:u w:val="single"/>
              </w:rPr>
              <w:t xml:space="preserve">先生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应对风险和机遇的措施</w:t>
            </w:r>
          </w:p>
          <w:p/>
        </w:tc>
        <w:tc>
          <w:tcPr>
            <w:tcW w:w="960" w:type="dxa"/>
            <w:vMerge w:val="restart"/>
          </w:tcPr>
          <w:p>
            <w:pPr>
              <w:rPr>
                <w:color w:val="000000"/>
                <w:szCs w:val="21"/>
              </w:rPr>
            </w:pPr>
            <w:r>
              <w:rPr>
                <w:rFonts w:hint="eastAsia"/>
                <w:color w:val="000000"/>
                <w:szCs w:val="21"/>
              </w:rPr>
              <w:t>Q6.1</w:t>
            </w:r>
          </w:p>
          <w:p>
            <w:r>
              <w:rPr>
                <w:rFonts w:hint="eastAsia"/>
                <w:color w:val="000000"/>
                <w:szCs w:val="21"/>
              </w:rPr>
              <w:t>F6.1.1</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管理手册第6.1章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4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rPr>
                      <w:rFonts w:hint="eastAsia"/>
                    </w:rPr>
                    <w:t>主要的风险描述</w:t>
                  </w:r>
                </w:p>
              </w:tc>
              <w:tc>
                <w:tcPr>
                  <w:tcW w:w="4400"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exact"/>
                    <w:jc w:val="left"/>
                    <w:textAlignment w:val="center"/>
                    <w:rPr>
                      <w:rFonts w:ascii="宋体" w:hAnsi="宋体" w:cs="宋体"/>
                      <w:color w:val="000000"/>
                      <w:kern w:val="0"/>
                      <w:szCs w:val="21"/>
                      <w:lang w:bidi="ar"/>
                    </w:rPr>
                  </w:pPr>
                  <w:r>
                    <w:rPr>
                      <w:rFonts w:hint="eastAsia" w:ascii="宋体" w:hAnsi="宋体" w:cs="宋体"/>
                      <w:color w:val="333333"/>
                      <w:szCs w:val="21"/>
                      <w:shd w:val="clear" w:color="auto" w:fill="FFFFFF"/>
                    </w:rPr>
                    <w:t>食品及原材料批量不合格、报废产生</w:t>
                  </w:r>
                  <w:r>
                    <w:rPr>
                      <w:rFonts w:hint="eastAsia" w:ascii="宋体" w:hAnsi="宋体" w:cs="宋体"/>
                      <w:color w:val="333333"/>
                      <w:szCs w:val="21"/>
                      <w:shd w:val="clear" w:color="auto" w:fill="FFFFFF"/>
                      <w:lang w:val="en-US" w:eastAsia="zh-CN"/>
                    </w:rPr>
                    <w:t>质量和食品安全</w:t>
                  </w:r>
                  <w:r>
                    <w:rPr>
                      <w:rFonts w:hint="eastAsia" w:ascii="宋体" w:hAnsi="宋体" w:cs="宋体"/>
                      <w:color w:val="333333"/>
                      <w:szCs w:val="21"/>
                      <w:shd w:val="clear" w:color="auto" w:fill="FFFFFF"/>
                    </w:rPr>
                    <w:t>压力</w:t>
                  </w:r>
                </w:p>
              </w:tc>
              <w:tc>
                <w:tcPr>
                  <w:tcW w:w="4400" w:type="dxa"/>
                </w:tcPr>
                <w:p>
                  <w:r>
                    <w:rPr>
                      <w:rFonts w:hint="eastAsia" w:ascii="宋体" w:hAnsi="宋体" w:cs="宋体"/>
                      <w:color w:val="000000"/>
                      <w:kern w:val="0"/>
                      <w:szCs w:val="21"/>
                      <w:lang w:val="en-US" w:eastAsia="zh-CN" w:bidi="ar"/>
                    </w:rPr>
                    <w:t>加强供方管理，加强进货验证</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szCs w:val="24"/>
                    </w:rPr>
                  </w:pPr>
                  <w:r>
                    <w:rPr>
                      <w:rFonts w:hint="eastAsia"/>
                      <w:szCs w:val="24"/>
                    </w:rPr>
                    <w:t>加工方法或操作不当造成食品安全事故、风险</w:t>
                  </w:r>
                </w:p>
              </w:tc>
              <w:tc>
                <w:tcPr>
                  <w:tcW w:w="4400" w:type="dxa"/>
                </w:tcPr>
                <w:p>
                  <w:r>
                    <w:rPr>
                      <w:rFonts w:hint="eastAsia" w:ascii="宋体" w:hAnsi="宋体" w:cs="宋体"/>
                      <w:color w:val="000000"/>
                      <w:kern w:val="0"/>
                      <w:szCs w:val="21"/>
                      <w:lang w:bidi="ar"/>
                    </w:rPr>
                    <w:t>加强食品餐饮的加工操作、食品安全培训及要求，严格按规范操作。</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szCs w:val="24"/>
                    </w:rPr>
                  </w:pPr>
                  <w:r>
                    <w:rPr>
                      <w:rFonts w:hint="eastAsia"/>
                      <w:szCs w:val="24"/>
                    </w:rPr>
                    <w:t>外部环境（学校或相关方）运行或异常对本公司的威胁</w:t>
                  </w:r>
                </w:p>
              </w:tc>
              <w:tc>
                <w:tcPr>
                  <w:tcW w:w="4400" w:type="dxa"/>
                </w:tcPr>
                <w:p>
                  <w:r>
                    <w:rPr>
                      <w:rFonts w:hint="eastAsia" w:ascii="宋体" w:hAnsi="宋体" w:cs="宋体"/>
                      <w:color w:val="000000"/>
                      <w:kern w:val="0"/>
                      <w:szCs w:val="21"/>
                      <w:lang w:bidi="ar"/>
                    </w:rPr>
                    <w:t>加强对外部环境的监控，及时做好应对措施</w:t>
                  </w:r>
                </w:p>
              </w:tc>
              <w:tc>
                <w:tcPr>
                  <w:tcW w:w="1717" w:type="dxa"/>
                </w:tcPr>
                <w:p>
                  <w:r>
                    <w:rPr>
                      <w:rFonts w:hint="eastAsia"/>
                    </w:rPr>
                    <w:t>基本有效</w:t>
                  </w: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主要的机遇描述</w:t>
                  </w:r>
                </w:p>
              </w:tc>
              <w:tc>
                <w:tcPr>
                  <w:tcW w:w="383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随着食品安全意识增强，社会对餐饮服务环保要求越来越高</w:t>
                  </w:r>
                </w:p>
              </w:tc>
              <w:tc>
                <w:tcPr>
                  <w:tcW w:w="3833" w:type="dxa"/>
                </w:tcPr>
                <w:p>
                  <w:r>
                    <w:rPr>
                      <w:rFonts w:hint="eastAsia"/>
                    </w:rPr>
                    <w:t>选用绿色、环保的原材料，保证食品符合环保要求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r>
                    <w:rPr>
                      <w:rFonts w:hint="eastAsia"/>
                      <w:szCs w:val="24"/>
                    </w:rPr>
                    <w:t>很多顾客及消费者对公司质量、食品安全管理体系绩效要求越来越高</w:t>
                  </w:r>
                </w:p>
              </w:tc>
              <w:tc>
                <w:tcPr>
                  <w:tcW w:w="3833" w:type="dxa"/>
                </w:tcPr>
                <w:p>
                  <w:r>
                    <w:rPr>
                      <w:rFonts w:hint="eastAsia"/>
                    </w:rPr>
                    <w:t>推行质量、食品安全管理体系，满足顾客及消费者对食品与管理过程环境要求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p>
              </w:tc>
              <w:tc>
                <w:tcPr>
                  <w:tcW w:w="3833" w:type="dxa"/>
                </w:tcPr>
                <w:p/>
              </w:tc>
              <w:tc>
                <w:tcPr>
                  <w:tcW w:w="1717" w:type="dxa"/>
                </w:tcPr>
                <w:p/>
              </w:tc>
            </w:tr>
          </w:tbl>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4" w:type="dxa"/>
            <w:vMerge w:val="restart"/>
          </w:tcPr>
          <w:p/>
        </w:tc>
        <w:tc>
          <w:tcPr>
            <w:tcW w:w="960" w:type="dxa"/>
          </w:tcPr>
          <w:p>
            <w:r>
              <w:rPr>
                <w:rFonts w:hint="eastAsia"/>
                <w:color w:val="000000"/>
                <w:szCs w:val="21"/>
              </w:rPr>
              <w:t>F6.1.2  </w:t>
            </w:r>
          </w:p>
        </w:tc>
        <w:tc>
          <w:tcPr>
            <w:tcW w:w="745" w:type="dxa"/>
          </w:tcPr>
          <w:p>
            <w:r>
              <w:rPr>
                <w:rFonts w:hint="eastAsia"/>
              </w:rPr>
              <w:t>运行证据</w:t>
            </w:r>
          </w:p>
        </w:tc>
        <w:tc>
          <w:tcPr>
            <w:tcW w:w="9256"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解决这些风险和机遇的行动;——企业提供了《应对机遇和风险措施清单》</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4" w:type="dxa"/>
            <w:vMerge w:val="continue"/>
          </w:tcPr>
          <w:p/>
        </w:tc>
        <w:tc>
          <w:tcPr>
            <w:tcW w:w="960" w:type="dxa"/>
          </w:tcPr>
          <w:p>
            <w:r>
              <w:rPr>
                <w:rFonts w:hint="eastAsia"/>
                <w:color w:val="000000"/>
                <w:szCs w:val="21"/>
              </w:rPr>
              <w:t>F6.1.3 </w:t>
            </w:r>
          </w:p>
        </w:tc>
        <w:tc>
          <w:tcPr>
            <w:tcW w:w="745" w:type="dxa"/>
          </w:tcPr>
          <w:p>
            <w:r>
              <w:rPr>
                <w:rFonts w:hint="eastAsia"/>
              </w:rPr>
              <w:t>运行证据</w:t>
            </w:r>
          </w:p>
        </w:tc>
        <w:tc>
          <w:tcPr>
            <w:tcW w:w="9256"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 </w:t>
            </w:r>
          </w:p>
          <w:p>
            <w:pPr>
              <w:rPr>
                <w:color w:val="000000"/>
                <w:szCs w:val="21"/>
              </w:rPr>
            </w:pPr>
            <w:r>
              <w:rPr>
                <w:rFonts w:hint="eastAsia"/>
                <w:color w:val="000000"/>
                <w:szCs w:val="21"/>
              </w:rPr>
              <w:t>F6.2 </w:t>
            </w:r>
          </w:p>
        </w:tc>
        <w:tc>
          <w:tcPr>
            <w:tcW w:w="745" w:type="dxa"/>
          </w:tcPr>
          <w:p>
            <w:r>
              <w:rPr>
                <w:rFonts w:hint="eastAsia"/>
              </w:rPr>
              <w:t>文件名称</w:t>
            </w:r>
          </w:p>
        </w:tc>
        <w:tc>
          <w:tcPr>
            <w:tcW w:w="9256" w:type="dxa"/>
          </w:tcPr>
          <w:p>
            <w:r>
              <w:rPr>
                <w:rFonts w:hint="eastAsia"/>
              </w:rPr>
              <w:t>如：手册第6.2章、《</w:t>
            </w:r>
            <w:r>
              <w:rPr>
                <w:rFonts w:hint="eastAsia"/>
                <w:color w:val="000000"/>
                <w:szCs w:val="21"/>
              </w:rPr>
              <w:t>质量和食品安全目标分解及完成情况考核表</w:t>
            </w:r>
            <w:r>
              <w:rPr>
                <w:rFonts w:hint="eastAsia"/>
              </w:rPr>
              <w:t>》</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组织建立了与方针一致的文件化的管理目标。为实现总的质量</w:t>
            </w:r>
            <w:r>
              <w:rPr>
                <w:rFonts w:hint="eastAsia" w:ascii="宋体" w:hAnsi="宋体"/>
                <w:szCs w:val="21"/>
              </w:rPr>
              <w:t>/食品安全</w:t>
            </w:r>
            <w:r>
              <w:rPr>
                <w:rFonts w:hint="eastAsia"/>
              </w:rPr>
              <w:t>目标而建立的各层级质量</w:t>
            </w:r>
            <w:r>
              <w:rPr>
                <w:rFonts w:hint="eastAsia" w:ascii="宋体" w:hAnsi="宋体"/>
                <w:szCs w:val="21"/>
              </w:rPr>
              <w:t>/食品安全</w:t>
            </w:r>
            <w:r>
              <w:rPr>
                <w:rFonts w:hint="eastAsia"/>
              </w:rPr>
              <w:t>目标具体、有针对性、可测量并且可实现。</w:t>
            </w:r>
          </w:p>
          <w:p>
            <w:r>
              <w:rPr>
                <w:rFonts w:hint="eastAsia"/>
              </w:rPr>
              <w:t>总质量</w:t>
            </w:r>
            <w:r>
              <w:rPr>
                <w:rFonts w:hint="eastAsia" w:ascii="宋体" w:hAnsi="宋体"/>
                <w:szCs w:val="21"/>
              </w:rPr>
              <w:t>/食品安全</w:t>
            </w:r>
            <w:r>
              <w:rPr>
                <w:rFonts w:hint="eastAsia"/>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223"/>
              <w:gridCol w:w="22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质量/食品安全目标</w:t>
                  </w:r>
                </w:p>
              </w:tc>
              <w:tc>
                <w:tcPr>
                  <w:tcW w:w="2223" w:type="dxa"/>
                  <w:shd w:val="clear" w:color="auto" w:fill="auto"/>
                </w:tcPr>
                <w:p>
                  <w:pPr>
                    <w:rPr>
                      <w:rFonts w:ascii="宋体" w:hAnsi="宋体"/>
                      <w:szCs w:val="21"/>
                    </w:rPr>
                  </w:pPr>
                  <w:r>
                    <w:rPr>
                      <w:rFonts w:hint="eastAsia" w:ascii="宋体" w:hAnsi="宋体"/>
                      <w:szCs w:val="21"/>
                    </w:rPr>
                    <w:t>计算方法</w:t>
                  </w:r>
                </w:p>
              </w:tc>
              <w:tc>
                <w:tcPr>
                  <w:tcW w:w="2263" w:type="dxa"/>
                  <w:shd w:val="clear" w:color="auto" w:fill="auto"/>
                </w:tcPr>
                <w:p>
                  <w:pPr>
                    <w:rPr>
                      <w:rFonts w:ascii="宋体" w:hAnsi="宋体"/>
                      <w:szCs w:val="21"/>
                    </w:rPr>
                  </w:pPr>
                  <w:r>
                    <w:rPr>
                      <w:rFonts w:hint="eastAsia" w:ascii="宋体" w:hAnsi="宋体"/>
                      <w:szCs w:val="21"/>
                    </w:rPr>
                    <w:t>责任部门</w:t>
                  </w:r>
                </w:p>
              </w:tc>
              <w:tc>
                <w:tcPr>
                  <w:tcW w:w="1774" w:type="dxa"/>
                  <w:shd w:val="clear" w:color="auto" w:fill="auto"/>
                </w:tcPr>
                <w:p>
                  <w:pPr>
                    <w:rPr>
                      <w:rFonts w:ascii="宋体" w:hAnsi="宋体"/>
                      <w:szCs w:val="21"/>
                    </w:rPr>
                  </w:pPr>
                  <w:r>
                    <w:rPr>
                      <w:rFonts w:hint="eastAsia" w:ascii="宋体" w:hAnsi="宋体"/>
                      <w:szCs w:val="21"/>
                    </w:rPr>
                    <w:t>目标实际完成</w:t>
                  </w:r>
                </w:p>
                <w:p>
                  <w:pPr>
                    <w:rPr>
                      <w:rFonts w:ascii="宋体" w:hAnsi="宋体"/>
                      <w:szCs w:val="21"/>
                    </w:rPr>
                  </w:pPr>
                  <w:r>
                    <w:rPr>
                      <w:rFonts w:hint="eastAsia" w:ascii="宋体" w:hAnsi="宋体"/>
                      <w:szCs w:val="21"/>
                    </w:rPr>
                    <w:t>（季度考核）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1"/>
                    </w:rPr>
                  </w:pPr>
                  <w:r>
                    <w:rPr>
                      <w:rFonts w:hint="eastAsia"/>
                      <w:szCs w:val="21"/>
                    </w:rPr>
                    <w:t>饭菜质量抽检合格率≧98%</w:t>
                  </w:r>
                </w:p>
              </w:tc>
              <w:tc>
                <w:tcPr>
                  <w:tcW w:w="2223" w:type="dxa"/>
                  <w:shd w:val="clear" w:color="auto" w:fill="auto"/>
                  <w:vAlign w:val="center"/>
                </w:tcPr>
                <w:p>
                  <w:pPr>
                    <w:rPr>
                      <w:szCs w:val="21"/>
                      <w:lang w:val="en-GB"/>
                    </w:rPr>
                  </w:pPr>
                  <w:r>
                    <w:rPr>
                      <w:rFonts w:hint="eastAsia"/>
                      <w:szCs w:val="21"/>
                      <w:lang w:val="en-GB"/>
                    </w:rPr>
                    <w:t>餐饮服务合格数/餐饮服务总数</w:t>
                  </w:r>
                  <w:r>
                    <w:rPr>
                      <w:rFonts w:hint="eastAsia" w:ascii="宋体" w:hAnsi="宋体"/>
                      <w:szCs w:val="21"/>
                    </w:rPr>
                    <w:t>×</w:t>
                  </w:r>
                  <w:r>
                    <w:rPr>
                      <w:rFonts w:ascii="宋体" w:hAnsi="宋体"/>
                      <w:szCs w:val="21"/>
                    </w:rPr>
                    <w:t>100%</w:t>
                  </w:r>
                </w:p>
              </w:tc>
              <w:tc>
                <w:tcPr>
                  <w:tcW w:w="2263" w:type="dxa"/>
                  <w:shd w:val="clear" w:color="auto" w:fill="auto"/>
                  <w:vAlign w:val="center"/>
                </w:tcPr>
                <w:p>
                  <w:pPr>
                    <w:rPr>
                      <w:szCs w:val="21"/>
                      <w:lang w:val="en-GB"/>
                    </w:rPr>
                  </w:pPr>
                  <w:r>
                    <w:rPr>
                      <w:rFonts w:hint="eastAsia" w:ascii="宋体" w:hAnsi="宋体" w:cs="宋体"/>
                      <w:szCs w:val="21"/>
                    </w:rPr>
                    <w:t>餐饮服务部</w:t>
                  </w:r>
                </w:p>
              </w:tc>
              <w:tc>
                <w:tcPr>
                  <w:tcW w:w="1774" w:type="dxa"/>
                  <w:shd w:val="clear" w:color="auto" w:fill="auto"/>
                  <w:vAlign w:val="center"/>
                </w:tcPr>
                <w:p>
                  <w:pPr>
                    <w:jc w:val="center"/>
                    <w:rPr>
                      <w:rFonts w:ascii="宋体" w:hAnsi="宋体"/>
                      <w:szCs w:val="21"/>
                      <w:lang w:val="en-GB"/>
                    </w:rPr>
                  </w:pPr>
                  <w:r>
                    <w:rPr>
                      <w:rFonts w:hint="eastAsia" w:ascii="宋体"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1"/>
                    </w:rPr>
                  </w:pPr>
                  <w:r>
                    <w:rPr>
                      <w:rFonts w:hint="eastAsia"/>
                      <w:szCs w:val="21"/>
                    </w:rPr>
                    <w:t>食品安全事故为0</w:t>
                  </w:r>
                </w:p>
              </w:tc>
              <w:tc>
                <w:tcPr>
                  <w:tcW w:w="2223" w:type="dxa"/>
                  <w:shd w:val="clear" w:color="auto" w:fill="auto"/>
                  <w:vAlign w:val="center"/>
                </w:tcPr>
                <w:p>
                  <w:pPr>
                    <w:rPr>
                      <w:rFonts w:ascii="宋体" w:hAnsi="宋体"/>
                      <w:szCs w:val="21"/>
                    </w:rPr>
                  </w:pPr>
                  <w:r>
                    <w:rPr>
                      <w:rFonts w:hint="eastAsia" w:ascii="宋体" w:hAnsi="宋体"/>
                      <w:szCs w:val="21"/>
                    </w:rPr>
                    <w:t>实际发生次数</w:t>
                  </w:r>
                </w:p>
              </w:tc>
              <w:tc>
                <w:tcPr>
                  <w:tcW w:w="2263" w:type="dxa"/>
                  <w:shd w:val="clear" w:color="auto" w:fill="auto"/>
                  <w:vAlign w:val="center"/>
                </w:tcPr>
                <w:p>
                  <w:pPr>
                    <w:rPr>
                      <w:rFonts w:hint="default" w:ascii="宋体" w:hAnsi="宋体" w:eastAsia="宋体"/>
                      <w:szCs w:val="21"/>
                      <w:lang w:val="en-US" w:eastAsia="zh-CN"/>
                    </w:rPr>
                  </w:pPr>
                  <w:r>
                    <w:rPr>
                      <w:rFonts w:hint="eastAsia" w:ascii="宋体" w:hAnsi="宋体"/>
                      <w:szCs w:val="21"/>
                      <w:lang w:val="en-US" w:eastAsia="zh-CN"/>
                    </w:rPr>
                    <w:t>各部门</w:t>
                  </w:r>
                </w:p>
              </w:tc>
              <w:tc>
                <w:tcPr>
                  <w:tcW w:w="1774" w:type="dxa"/>
                  <w:shd w:val="clear" w:color="auto" w:fill="auto"/>
                  <w:vAlign w:val="center"/>
                </w:tcPr>
                <w:p>
                  <w:pPr>
                    <w:jc w:val="center"/>
                    <w:rPr>
                      <w:rFonts w:ascii="宋体" w:hAnsi="宋体"/>
                      <w:szCs w:val="21"/>
                    </w:rPr>
                  </w:pPr>
                  <w:r>
                    <w:rPr>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color w:val="000000"/>
                      <w:szCs w:val="21"/>
                    </w:rPr>
                  </w:pPr>
                  <w:r>
                    <w:rPr>
                      <w:rFonts w:hint="eastAsia" w:ascii="宋体" w:hAnsi="宋体"/>
                      <w:szCs w:val="21"/>
                    </w:rPr>
                    <w:t>顾客满意度≥85%</w:t>
                  </w:r>
                </w:p>
              </w:tc>
              <w:tc>
                <w:tcPr>
                  <w:tcW w:w="2223" w:type="dxa"/>
                  <w:shd w:val="clear" w:color="auto" w:fill="auto"/>
                  <w:vAlign w:val="center"/>
                </w:tcPr>
                <w:p>
                  <w:pPr>
                    <w:widowControl/>
                    <w:spacing w:before="40"/>
                    <w:jc w:val="left"/>
                    <w:rPr>
                      <w:color w:val="000000"/>
                      <w:szCs w:val="21"/>
                    </w:rPr>
                  </w:pPr>
                  <w:r>
                    <w:rPr>
                      <w:rFonts w:hint="eastAsia" w:ascii="宋体" w:hAnsi="宋体"/>
                      <w:szCs w:val="21"/>
                    </w:rPr>
                    <w:t>顾客满意度分析</w:t>
                  </w:r>
                </w:p>
              </w:tc>
              <w:tc>
                <w:tcPr>
                  <w:tcW w:w="2263" w:type="dxa"/>
                  <w:shd w:val="clear" w:color="auto" w:fill="auto"/>
                  <w:vAlign w:val="center"/>
                </w:tcPr>
                <w:p>
                  <w:pPr>
                    <w:widowControl/>
                    <w:spacing w:before="40"/>
                    <w:jc w:val="left"/>
                    <w:rPr>
                      <w:rFonts w:hint="eastAsia" w:eastAsia="宋体"/>
                      <w:color w:val="000000"/>
                      <w:szCs w:val="21"/>
                      <w:lang w:eastAsia="zh-CN"/>
                    </w:rPr>
                  </w:pPr>
                  <w:r>
                    <w:rPr>
                      <w:rFonts w:hint="eastAsia"/>
                      <w:color w:val="000000"/>
                      <w:szCs w:val="21"/>
                      <w:lang w:val="en-US" w:eastAsia="zh-CN"/>
                    </w:rPr>
                    <w:t>餐椅服务部</w:t>
                  </w:r>
                </w:p>
              </w:tc>
              <w:tc>
                <w:tcPr>
                  <w:tcW w:w="1774" w:type="dxa"/>
                  <w:shd w:val="clear" w:color="auto" w:fill="auto"/>
                  <w:vAlign w:val="center"/>
                </w:tcPr>
                <w:p>
                  <w:pPr>
                    <w:widowControl/>
                    <w:spacing w:before="40"/>
                    <w:jc w:val="center"/>
                    <w:rPr>
                      <w:color w:val="000000"/>
                      <w:szCs w:val="21"/>
                    </w:rPr>
                  </w:pPr>
                  <w:r>
                    <w:rPr>
                      <w:rFonts w:ascii="宋体" w:hAnsi="宋体" w:cs="宋体"/>
                      <w:bCs/>
                      <w:color w:val="000000"/>
                      <w:szCs w:val="21"/>
                    </w:rPr>
                    <w:t>96</w:t>
                  </w:r>
                  <w:r>
                    <w:rPr>
                      <w:rFonts w:hint="eastAsia" w:ascii="宋体" w:hAnsi="宋体" w:cs="宋体"/>
                      <w:bCs/>
                      <w:color w:val="000000"/>
                      <w:szCs w:val="21"/>
                    </w:rPr>
                    <w:t>%</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变更的策划</w:t>
            </w:r>
          </w:p>
          <w:p/>
        </w:tc>
        <w:tc>
          <w:tcPr>
            <w:tcW w:w="960" w:type="dxa"/>
            <w:vMerge w:val="restart"/>
          </w:tcPr>
          <w:p>
            <w:pPr>
              <w:rPr>
                <w:color w:val="000000"/>
                <w:szCs w:val="21"/>
              </w:rPr>
            </w:pPr>
            <w:r>
              <w:rPr>
                <w:rFonts w:hint="eastAsia"/>
                <w:color w:val="000000"/>
                <w:szCs w:val="21"/>
              </w:rPr>
              <w:t>Q6.3</w:t>
            </w:r>
          </w:p>
          <w:p>
            <w:r>
              <w:rPr>
                <w:rFonts w:hint="eastAsia"/>
                <w:color w:val="000000"/>
                <w:szCs w:val="21"/>
              </w:rPr>
              <w:t>F6.3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其他——体系建立以来未发生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资源（总则）</w:t>
            </w:r>
          </w:p>
        </w:tc>
        <w:tc>
          <w:tcPr>
            <w:tcW w:w="960" w:type="dxa"/>
            <w:vMerge w:val="restart"/>
          </w:tcPr>
          <w:p>
            <w:pPr>
              <w:rPr>
                <w:color w:val="000000"/>
                <w:szCs w:val="21"/>
              </w:rPr>
            </w:pPr>
            <w:r>
              <w:rPr>
                <w:rFonts w:hint="eastAsia"/>
                <w:color w:val="000000"/>
                <w:szCs w:val="21"/>
              </w:rPr>
              <w:t>Q7.1</w:t>
            </w:r>
            <w:r>
              <w:rPr>
                <w:rFonts w:hint="eastAsia"/>
                <w:color w:val="000000"/>
                <w:szCs w:val="21"/>
                <w:lang w:val="en-US" w:eastAsia="zh-CN"/>
              </w:rPr>
              <w:t>.1</w:t>
            </w:r>
            <w:r>
              <w:rPr>
                <w:rFonts w:hint="eastAsia"/>
                <w:color w:val="000000"/>
                <w:szCs w:val="21"/>
              </w:rPr>
              <w:t> </w:t>
            </w:r>
          </w:p>
          <w:p>
            <w:r>
              <w:rPr>
                <w:rFonts w:hint="eastAsia"/>
                <w:color w:val="000000"/>
                <w:szCs w:val="21"/>
              </w:rPr>
              <w:t>F7.1</w:t>
            </w:r>
            <w:r>
              <w:rPr>
                <w:rFonts w:hint="eastAsia"/>
                <w:color w:val="000000"/>
                <w:szCs w:val="21"/>
                <w:lang w:val="en-US" w:eastAsia="zh-CN"/>
              </w:rPr>
              <w:t>.1</w:t>
            </w:r>
            <w:r>
              <w:rPr>
                <w:rFonts w:hint="eastAsia"/>
                <w:color w:val="000000"/>
                <w:szCs w:val="21"/>
              </w:rPr>
              <w:t> </w:t>
            </w:r>
          </w:p>
        </w:tc>
        <w:tc>
          <w:tcPr>
            <w:tcW w:w="745" w:type="dxa"/>
          </w:tcPr>
          <w:p>
            <w:r>
              <w:rPr>
                <w:rFonts w:hint="eastAsia"/>
              </w:rPr>
              <w:t>文件名称</w:t>
            </w:r>
          </w:p>
        </w:tc>
        <w:tc>
          <w:tcPr>
            <w:tcW w:w="9256" w:type="dxa"/>
          </w:tcPr>
          <w:p>
            <w:r>
              <w:rPr>
                <w:rFonts w:hint="eastAsia"/>
              </w:rPr>
              <w:t>如：管理手册第7.1章</w:t>
            </w:r>
          </w:p>
        </w:tc>
        <w:tc>
          <w:tcPr>
            <w:tcW w:w="1589"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highlight w:val="none"/>
              </w:rPr>
            </w:pPr>
            <w:r>
              <w:rPr>
                <w:rFonts w:hint="eastAsia"/>
                <w:highlight w:val="none"/>
              </w:rPr>
              <w:t>建筑面积</w:t>
            </w:r>
            <w:r>
              <w:rPr>
                <w:rFonts w:hint="eastAsia"/>
                <w:highlight w:val="none"/>
                <w:u w:val="single"/>
              </w:rPr>
              <w:t xml:space="preserve"> </w:t>
            </w:r>
            <w:r>
              <w:rPr>
                <w:highlight w:val="none"/>
                <w:u w:val="single"/>
              </w:rPr>
              <w:t>1500</w:t>
            </w:r>
            <w:r>
              <w:rPr>
                <w:rFonts w:hint="eastAsia"/>
                <w:highlight w:val="none"/>
                <w:u w:val="single"/>
              </w:rPr>
              <w:t xml:space="preserve"> </w:t>
            </w:r>
            <w:r>
              <w:rPr>
                <w:rFonts w:hint="eastAsia"/>
                <w:highlight w:val="none"/>
              </w:rPr>
              <w:t>平方米；生产车间</w:t>
            </w:r>
            <w:r>
              <w:rPr>
                <w:rFonts w:hint="eastAsia"/>
                <w:highlight w:val="none"/>
                <w:u w:val="single"/>
              </w:rPr>
              <w:t xml:space="preserve">  0 </w:t>
            </w:r>
            <w:r>
              <w:rPr>
                <w:rFonts w:hint="eastAsia"/>
                <w:highlight w:val="none"/>
              </w:rPr>
              <w:t>个；后厨</w:t>
            </w:r>
            <w:r>
              <w:rPr>
                <w:rFonts w:hint="eastAsia"/>
                <w:highlight w:val="none"/>
                <w:u w:val="single"/>
                <w:lang w:val="en-US" w:eastAsia="zh-CN"/>
              </w:rPr>
              <w:t xml:space="preserve"> 3</w:t>
            </w:r>
            <w:r>
              <w:rPr>
                <w:rFonts w:hint="eastAsia"/>
                <w:highlight w:val="none"/>
              </w:rPr>
              <w:t>个；大堂</w:t>
            </w:r>
            <w:r>
              <w:rPr>
                <w:rFonts w:hint="eastAsia"/>
                <w:highlight w:val="none"/>
                <w:u w:val="single"/>
              </w:rPr>
              <w:t>1</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w:t>
            </w:r>
          </w:p>
          <w:p>
            <w:pPr>
              <w:rPr>
                <w:u w:val="single"/>
              </w:rPr>
            </w:pPr>
            <w:r>
              <w:rPr>
                <w:rFonts w:hint="eastAsia"/>
              </w:rPr>
              <w:t>主要生产设备有：</w:t>
            </w:r>
            <w:r>
              <w:rPr>
                <w:rFonts w:hint="eastAsia"/>
                <w:u w:val="single"/>
              </w:rPr>
              <w:t xml:space="preserve">  </w:t>
            </w:r>
            <w:r>
              <w:rPr>
                <w:rFonts w:hint="eastAsia"/>
                <w:u w:val="single"/>
                <w:lang w:val="en-US" w:eastAsia="zh-CN"/>
              </w:rPr>
              <w:t>消毒柜、洗碗机、</w:t>
            </w:r>
            <w:r>
              <w:rPr>
                <w:rFonts w:hint="eastAsia"/>
                <w:u w:val="single"/>
              </w:rPr>
              <w:t>和面机、灶台</w:t>
            </w:r>
            <w:r>
              <w:rPr>
                <w:rFonts w:hint="eastAsia"/>
                <w:u w:val="single"/>
                <w:lang w:eastAsia="zh-CN"/>
              </w:rPr>
              <w:t>、</w:t>
            </w:r>
            <w:r>
              <w:rPr>
                <w:rFonts w:hint="eastAsia"/>
                <w:u w:val="single"/>
                <w:lang w:val="en-US" w:eastAsia="zh-CN"/>
              </w:rPr>
              <w:t>食品留样柜</w:t>
            </w:r>
            <w:r>
              <w:rPr>
                <w:rFonts w:hint="eastAsia"/>
                <w:u w:val="single"/>
              </w:rPr>
              <w:t xml:space="preserve">      </w:t>
            </w:r>
            <w:r>
              <w:rPr>
                <w:u w:val="single"/>
              </w:rPr>
              <w:t xml:space="preserve"> </w:t>
            </w:r>
            <w:r>
              <w:rPr>
                <w:rFonts w:hint="eastAsia"/>
                <w:u w:val="single"/>
              </w:rPr>
              <w:t>（列举2~4种）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不涉及         </w:t>
            </w:r>
          </w:p>
          <w:p>
            <w:pPr>
              <w:rPr>
                <w:color w:val="000000"/>
                <w:szCs w:val="21"/>
              </w:rPr>
            </w:pPr>
          </w:p>
          <w:p>
            <w:pPr>
              <w:numPr>
                <w:ilvl w:val="0"/>
                <w:numId w:val="2"/>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虫害控制</w:t>
            </w:r>
            <w:r>
              <w:rPr>
                <w:u w:val="single"/>
              </w:rPr>
              <w:t xml:space="preserve">      </w:t>
            </w:r>
            <w:r>
              <w:rPr>
                <w:rFonts w:hint="eastAsia"/>
                <w:u w:val="single"/>
              </w:rPr>
              <w:t xml:space="preserve"> </w:t>
            </w:r>
            <w:r>
              <w:rPr>
                <w:rFonts w:hint="eastAsia"/>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tcPr>
          <w:p>
            <w:r>
              <w:rPr>
                <w:rFonts w:hint="eastAsia"/>
              </w:rPr>
              <w:t xml:space="preserve">沟通  </w:t>
            </w:r>
          </w:p>
        </w:tc>
        <w:tc>
          <w:tcPr>
            <w:tcW w:w="960" w:type="dxa"/>
          </w:tcPr>
          <w:p>
            <w:r>
              <w:rPr>
                <w:rFonts w:hint="eastAsia"/>
              </w:rPr>
              <w:t>Q7.4</w:t>
            </w:r>
          </w:p>
          <w:p>
            <w:r>
              <w:rPr>
                <w:rFonts w:hint="eastAsia"/>
              </w:rPr>
              <w:t xml:space="preserve">F7.4  </w:t>
            </w:r>
          </w:p>
        </w:tc>
        <w:tc>
          <w:tcPr>
            <w:tcW w:w="745" w:type="dxa"/>
          </w:tcPr>
          <w:p>
            <w:r>
              <w:rPr>
                <w:rFonts w:hint="eastAsia"/>
              </w:rPr>
              <w:t>文件名称</w:t>
            </w:r>
          </w:p>
        </w:tc>
        <w:tc>
          <w:tcPr>
            <w:tcW w:w="9256" w:type="dxa"/>
          </w:tcPr>
          <w:p>
            <w:r>
              <w:rPr>
                <w:rFonts w:hint="eastAsia"/>
              </w:rPr>
              <w:t>如：管理手册第7.4章、《内外部沟通控制程序》</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4" w:type="dxa"/>
          </w:tcPr>
          <w:p/>
        </w:tc>
        <w:tc>
          <w:tcPr>
            <w:tcW w:w="960" w:type="dxa"/>
          </w:tcPr>
          <w:p/>
        </w:tc>
        <w:tc>
          <w:tcPr>
            <w:tcW w:w="745" w:type="dxa"/>
          </w:tcPr>
          <w:p>
            <w:r>
              <w:rPr>
                <w:rFonts w:hint="eastAsia"/>
              </w:rPr>
              <w:t>运行证据</w:t>
            </w:r>
          </w:p>
        </w:tc>
        <w:tc>
          <w:tcPr>
            <w:tcW w:w="9256" w:type="dxa"/>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☑表单传递 ☑微信 ☑QQ ☑展板 </w:t>
            </w:r>
            <w:r>
              <w:rPr>
                <w:rFonts w:hint="eastAsia"/>
                <w:color w:val="000000"/>
                <w:szCs w:val="21"/>
              </w:rPr>
              <w:sym w:font="Wingdings 2" w:char="0052"/>
            </w:r>
            <w:r>
              <w:rPr>
                <w:rFonts w:hint="eastAsia"/>
                <w:color w:val="000000"/>
                <w:szCs w:val="21"/>
              </w:rPr>
              <w:t>标语</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监视、测量、分析和评价</w:t>
            </w:r>
          </w:p>
          <w:p/>
        </w:tc>
        <w:tc>
          <w:tcPr>
            <w:tcW w:w="960" w:type="dxa"/>
            <w:vMerge w:val="restart"/>
          </w:tcPr>
          <w:p>
            <w:r>
              <w:rPr>
                <w:rFonts w:hint="eastAsia"/>
              </w:rPr>
              <w:t>Q9.1.1 F9.1.1</w:t>
            </w:r>
          </w:p>
          <w:p/>
        </w:tc>
        <w:tc>
          <w:tcPr>
            <w:tcW w:w="745" w:type="dxa"/>
          </w:tcPr>
          <w:p>
            <w:r>
              <w:rPr>
                <w:rFonts w:hint="eastAsia"/>
              </w:rPr>
              <w:t>文件名称</w:t>
            </w:r>
          </w:p>
        </w:tc>
        <w:tc>
          <w:tcPr>
            <w:tcW w:w="9256" w:type="dxa"/>
          </w:tcPr>
          <w:p>
            <w:pPr>
              <w:rPr>
                <w:b/>
                <w:bCs/>
              </w:rPr>
            </w:pPr>
            <w:r>
              <w:rPr>
                <w:rFonts w:hint="eastAsia"/>
              </w:rPr>
              <w:t>如：</w:t>
            </w:r>
            <w:r>
              <w:rPr>
                <w:rFonts w:hint="eastAsia"/>
              </w:rPr>
              <w:sym w:font="Wingdings" w:char="00FE"/>
            </w:r>
            <w:r>
              <w:rPr>
                <w:rFonts w:hint="eastAsia"/>
              </w:rPr>
              <w:t>管理手册9.1.1条款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4"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组织对监视和测量的质量食品安全绩效：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水质和餐具检测</w:t>
                  </w:r>
                </w:p>
              </w:tc>
              <w:tc>
                <w:tcPr>
                  <w:tcW w:w="2456" w:type="dxa"/>
                </w:tcPr>
                <w:p>
                  <w:pPr>
                    <w:rPr>
                      <w:szCs w:val="21"/>
                    </w:rPr>
                  </w:pPr>
                  <w:r>
                    <w:rPr>
                      <w:rFonts w:hint="eastAsia"/>
                      <w:szCs w:val="21"/>
                    </w:rPr>
                    <w:t>送第三方检测</w:t>
                  </w:r>
                </w:p>
              </w:tc>
              <w:tc>
                <w:tcPr>
                  <w:tcW w:w="1867"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hint="eastAsia"/>
                      <w:color w:val="000000"/>
                      <w:sz w:val="15"/>
                      <w:szCs w:val="15"/>
                    </w:rPr>
                    <w:t>☑</w:t>
                  </w:r>
                  <w:r>
                    <w:rPr>
                      <w:rFonts w:hint="eastAsia"/>
                      <w:color w:val="000000"/>
                      <w:szCs w:val="21"/>
                    </w:rPr>
                    <w:t>每年 □</w:t>
                  </w:r>
                  <w:r>
                    <w:rPr>
                      <w:rFonts w:hint="eastAsia"/>
                      <w:szCs w:val="21"/>
                    </w:rPr>
                    <w:t>其他</w:t>
                  </w:r>
                </w:p>
              </w:tc>
              <w:tc>
                <w:tcPr>
                  <w:tcW w:w="1809" w:type="dxa"/>
                </w:tcPr>
                <w:p>
                  <w:pPr>
                    <w:rPr>
                      <w:szCs w:val="21"/>
                    </w:rPr>
                  </w:pPr>
                  <w:r>
                    <w:rPr>
                      <w:rFonts w:hint="eastAsia"/>
                      <w:szCs w:val="21"/>
                    </w:rPr>
                    <w:t>相关国家标准</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default" w:eastAsia="宋体"/>
                      <w:szCs w:val="21"/>
                      <w:lang w:val="en-US" w:eastAsia="zh-CN"/>
                    </w:rPr>
                  </w:pPr>
                  <w:r>
                    <w:rPr>
                      <w:rFonts w:hint="eastAsia"/>
                      <w:szCs w:val="21"/>
                      <w:lang w:val="en-US" w:eastAsia="zh-CN"/>
                    </w:rPr>
                    <w:t>SSOP、GMP</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bookmarkStart w:id="0" w:name="_Hlk55987447"/>
            <w:r>
              <w:rPr>
                <w:rFonts w:hint="eastAsia"/>
              </w:rPr>
              <w:t>《管理评审控制程序》</w:t>
            </w:r>
            <w:bookmarkEnd w:id="0"/>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6" w:type="dxa"/>
          </w:tcPr>
          <w:p>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2020  </w:t>
            </w:r>
            <w:r>
              <w:rPr>
                <w:rFonts w:hint="eastAsia"/>
                <w:color w:val="000000"/>
                <w:szCs w:val="18"/>
              </w:rPr>
              <w:t>年</w:t>
            </w:r>
            <w:r>
              <w:rPr>
                <w:rFonts w:hint="eastAsia"/>
                <w:color w:val="000000"/>
                <w:szCs w:val="18"/>
                <w:u w:val="single"/>
              </w:rPr>
              <w:t xml:space="preserve"> </w:t>
            </w:r>
            <w:r>
              <w:rPr>
                <w:color w:val="000000"/>
                <w:szCs w:val="18"/>
                <w:u w:val="single"/>
              </w:rPr>
              <w:t xml:space="preserve"> 1</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w:t>
            </w:r>
            <w:r>
              <w:rPr>
                <w:rFonts w:hint="eastAsia"/>
                <w:color w:val="000000"/>
                <w:szCs w:val="18"/>
                <w:u w:val="single"/>
              </w:rPr>
              <w:t>0</w:t>
            </w:r>
            <w:r>
              <w:rPr>
                <w:color w:val="000000"/>
                <w:szCs w:val="18"/>
                <w:u w:val="single"/>
              </w:rPr>
              <w:t xml:space="preserve">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color w:val="000000"/>
                      <w:szCs w:val="21"/>
                    </w:rPr>
                  </w:pPr>
                  <w:r>
                    <w:rPr>
                      <w:rFonts w:hint="eastAsia" w:ascii="宋体" w:hAnsi="宋体" w:cs="宋体"/>
                      <w:szCs w:val="21"/>
                    </w:rPr>
                    <w:t>公司内部的体系文件学习一事，由办公室组织，办公室人员尤其要加强体系文件的学习。</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r>
              <w:rPr>
                <w:rFonts w:hint="eastAsia"/>
              </w:rPr>
              <w:sym w:font="Wingdings" w:char="00A8"/>
            </w:r>
            <w:r>
              <w:rPr>
                <w:rFonts w:hint="eastAsia"/>
              </w:rPr>
              <w:t>改进措施未落实的原因：</w:t>
            </w:r>
            <w:r>
              <w:rPr>
                <w:rFonts w:hint="eastAsia"/>
                <w:u w:val="single"/>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vMerge w:val="restart"/>
          </w:tcPr>
          <w:p>
            <w:r>
              <w:rPr>
                <w:rFonts w:hint="eastAsia"/>
              </w:rPr>
              <w:t>管理评审</w:t>
            </w:r>
          </w:p>
          <w:p/>
        </w:tc>
        <w:tc>
          <w:tcPr>
            <w:tcW w:w="960" w:type="dxa"/>
            <w:vMerge w:val="restart"/>
          </w:tcPr>
          <w:p>
            <w:r>
              <w:rPr>
                <w:rFonts w:hint="eastAsia"/>
              </w:rPr>
              <w:t>F9.3</w:t>
            </w:r>
          </w:p>
        </w:tc>
        <w:tc>
          <w:tcPr>
            <w:tcW w:w="745" w:type="dxa"/>
          </w:tcPr>
          <w:p>
            <w:r>
              <w:rPr>
                <w:rFonts w:hint="eastAsia"/>
              </w:rPr>
              <w:t>文件名称</w:t>
            </w:r>
          </w:p>
        </w:tc>
        <w:tc>
          <w:tcPr>
            <w:tcW w:w="9256" w:type="dxa"/>
          </w:tcPr>
          <w:p>
            <w:r>
              <w:rPr>
                <w:rFonts w:hint="eastAsia"/>
              </w:rPr>
              <w:t>如：《管理评审控制</w:t>
            </w:r>
            <w:bookmarkStart w:id="1" w:name="_GoBack"/>
            <w:bookmarkEnd w:id="1"/>
            <w:r>
              <w:rPr>
                <w:rFonts w:hint="eastAsia"/>
              </w:rPr>
              <w:t xml:space="preserve">程序》 </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vMerge w:val="continue"/>
            <w:tcBorders/>
          </w:tcPr>
          <w:p/>
        </w:tc>
        <w:tc>
          <w:tcPr>
            <w:tcW w:w="960" w:type="dxa"/>
            <w:vMerge w:val="continue"/>
            <w:tcBorders/>
          </w:tcPr>
          <w:p/>
        </w:tc>
        <w:tc>
          <w:tcPr>
            <w:tcW w:w="745" w:type="dxa"/>
          </w:tcPr>
          <w:p>
            <w:pPr>
              <w:widowControl/>
              <w:spacing w:before="40"/>
              <w:jc w:val="left"/>
              <w:rPr>
                <w:color w:val="000000"/>
                <w:szCs w:val="18"/>
              </w:rPr>
            </w:pPr>
          </w:p>
          <w:p>
            <w:r>
              <w:rPr>
                <w:rFonts w:hint="eastAsia"/>
              </w:rPr>
              <w:t>运行证据</w:t>
            </w:r>
          </w:p>
        </w:tc>
        <w:tc>
          <w:tcPr>
            <w:tcW w:w="9256"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u w:val="single"/>
              </w:rPr>
              <w:t xml:space="preserve"> 20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color w:val="000000"/>
                      <w:szCs w:val="21"/>
                    </w:rPr>
                  </w:pPr>
                  <w:r>
                    <w:rPr>
                      <w:rFonts w:hint="eastAsia" w:ascii="宋体" w:hAnsi="宋体" w:cs="宋体"/>
                      <w:szCs w:val="21"/>
                    </w:rPr>
                    <w:t>公司内部的体系文件学习一事，由办公室组织，办公室人员尤其要加强体系文件的学习。</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管理手册10.1章</w:t>
            </w:r>
          </w:p>
        </w:tc>
        <w:tc>
          <w:tcPr>
            <w:tcW w:w="1589" w:type="dxa"/>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持续改进</w:t>
            </w:r>
          </w:p>
        </w:tc>
        <w:tc>
          <w:tcPr>
            <w:tcW w:w="960" w:type="dxa"/>
            <w:vMerge w:val="restart"/>
          </w:tcPr>
          <w:p>
            <w:r>
              <w:rPr>
                <w:rFonts w:hint="eastAsia"/>
              </w:rPr>
              <w:t>Q10.3</w:t>
            </w:r>
          </w:p>
          <w:p>
            <w:r>
              <w:rPr>
                <w:rFonts w:hint="eastAsia"/>
              </w:rPr>
              <w:t>F10.2</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管理手册10.3章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 xml:space="preserve">组织已持续改进质量/食品安全管理体系的适宜性、充分性和有效性，以提升食品安全绩效。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r>
              <w:rPr>
                <w:rFonts w:hint="eastAsia"/>
              </w:rPr>
              <w:sym w:font="Wingdings" w:char="00A8"/>
            </w:r>
            <w:r>
              <w:rPr>
                <w:rFonts w:hint="eastAsia"/>
              </w:rPr>
              <w:t xml:space="preserve"> 管理评审改进措施未落实的原因：</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9" w:type="dxa"/>
            <w:vMerge w:val="continue"/>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12</TotalTime>
  <ScaleCrop>false</ScaleCrop>
  <LinksUpToDate>false</LinksUpToDate>
  <CharactersWithSpaces>11225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2020-12-03T14:56:42Z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