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rPr>
          <w:color w:val="auto"/>
        </w:rPr>
      </w:pPr>
    </w:p>
    <w:p>
      <w:pPr>
        <w:spacing w:line="0" w:lineRule="atLeast"/>
        <w:rPr>
          <w:rFonts w:ascii="宋体" w:hAnsi="宋体"/>
          <w:color w:val="auto"/>
          <w:sz w:val="48"/>
        </w:rPr>
      </w:pPr>
    </w:p>
    <w:p>
      <w:pPr>
        <w:spacing w:line="0" w:lineRule="atLeast"/>
        <w:rPr>
          <w:rFonts w:ascii="宋体" w:hAnsi="宋体"/>
          <w:color w:val="auto"/>
          <w:sz w:val="48"/>
        </w:rPr>
      </w:pPr>
    </w:p>
    <w:p>
      <w:pPr>
        <w:spacing w:line="0" w:lineRule="atLeast"/>
        <w:rPr>
          <w:rFonts w:ascii="宋体" w:hAnsi="宋体"/>
          <w:color w:val="auto"/>
          <w:sz w:val="24"/>
          <w:szCs w:val="15"/>
        </w:rPr>
      </w:pPr>
    </w:p>
    <w:p>
      <w:pPr>
        <w:spacing w:line="500" w:lineRule="exact"/>
        <w:rPr>
          <w:rFonts w:ascii="宋体" w:hAnsi="宋体"/>
          <w:color w:val="auto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color w:val="auto"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color w:val="auto"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color w:val="auto"/>
          <w:sz w:val="52"/>
          <w:szCs w:val="52"/>
        </w:rPr>
      </w:pPr>
    </w:p>
    <w:p>
      <w:pPr>
        <w:widowControl/>
        <w:rPr>
          <w:rFonts w:ascii="宋体" w:hAnsi="宋体"/>
          <w:b/>
          <w:color w:val="auto"/>
          <w:sz w:val="52"/>
          <w:szCs w:val="52"/>
        </w:rPr>
      </w:pPr>
    </w:p>
    <w:p>
      <w:pPr>
        <w:widowControl/>
        <w:rPr>
          <w:rFonts w:ascii="宋体" w:hAnsi="宋体"/>
          <w:b/>
          <w:color w:val="auto"/>
          <w:sz w:val="52"/>
          <w:szCs w:val="52"/>
        </w:rPr>
      </w:pPr>
    </w:p>
    <w:p>
      <w:pPr>
        <w:spacing w:line="365" w:lineRule="exact"/>
        <w:rPr>
          <w:rFonts w:ascii="宋体" w:hAnsi="宋体"/>
          <w:color w:val="auto"/>
          <w:sz w:val="32"/>
          <w:szCs w:val="24"/>
        </w:rPr>
      </w:pPr>
    </w:p>
    <w:p>
      <w:pPr>
        <w:spacing w:line="365" w:lineRule="exact"/>
        <w:rPr>
          <w:rFonts w:ascii="宋体" w:hAnsi="宋体"/>
          <w:color w:val="auto"/>
          <w:sz w:val="32"/>
        </w:rPr>
      </w:pPr>
    </w:p>
    <w:p>
      <w:pPr>
        <w:spacing w:line="360" w:lineRule="auto"/>
        <w:ind w:firstLine="1920" w:firstLineChars="400"/>
        <w:jc w:val="both"/>
        <w:rPr>
          <w:rFonts w:hint="eastAsia" w:ascii="宋体" w:hAnsi="宋体"/>
          <w:color w:val="auto"/>
          <w:sz w:val="32"/>
          <w:u w:val="single"/>
        </w:rPr>
      </w:pPr>
      <w:r>
        <w:rPr>
          <w:rFonts w:hint="eastAsia" w:ascii="宋体" w:hAnsi="宋体"/>
          <w:color w:val="auto"/>
          <w:spacing w:val="80"/>
          <w:sz w:val="32"/>
        </w:rPr>
        <w:t>认证企</w:t>
      </w:r>
      <w:r>
        <w:rPr>
          <w:rFonts w:hint="eastAsia" w:ascii="宋体" w:hAnsi="宋体"/>
          <w:color w:val="auto"/>
          <w:sz w:val="32"/>
        </w:rPr>
        <w:t>业：</w:t>
      </w:r>
      <w:bookmarkStart w:id="1" w:name="组织名称"/>
      <w:r>
        <w:rPr>
          <w:rFonts w:hint="eastAsia" w:ascii="宋体" w:hAnsi="宋体"/>
          <w:color w:val="auto"/>
          <w:sz w:val="32"/>
          <w:u w:val="single"/>
        </w:rPr>
        <w:t>西玛克(厦门)阀门有限</w:t>
      </w:r>
      <w:r>
        <w:rPr>
          <w:rFonts w:hint="eastAsia" w:ascii="宋体" w:hAnsi="宋体"/>
          <w:color w:val="auto"/>
          <w:sz w:val="32"/>
          <w:u w:val="single"/>
          <w:lang w:eastAsia="zh-CN"/>
        </w:rPr>
        <w:t>公</w:t>
      </w:r>
      <w:r>
        <w:rPr>
          <w:rFonts w:hint="eastAsia" w:ascii="宋体" w:hAnsi="宋体"/>
          <w:color w:val="auto"/>
          <w:sz w:val="32"/>
          <w:u w:val="single"/>
        </w:rPr>
        <w:t>司</w:t>
      </w:r>
      <w:bookmarkEnd w:id="1"/>
    </w:p>
    <w:p>
      <w:pPr>
        <w:spacing w:line="360" w:lineRule="auto"/>
        <w:ind w:firstLine="1920" w:firstLineChars="400"/>
        <w:jc w:val="left"/>
        <w:rPr>
          <w:rFonts w:hint="default" w:ascii="宋体" w:hAnsi="宋体" w:eastAsiaTheme="minorEastAsia"/>
          <w:color w:val="auto"/>
          <w:sz w:val="32"/>
          <w:u w:val="single"/>
          <w:lang w:val="en-US" w:eastAsia="zh-CN"/>
        </w:rPr>
      </w:pPr>
      <w:r>
        <w:rPr>
          <w:rFonts w:hint="eastAsia" w:ascii="宋体" w:hAnsi="宋体"/>
          <w:color w:val="auto"/>
          <w:spacing w:val="80"/>
          <w:sz w:val="32"/>
        </w:rPr>
        <w:t>编</w:t>
      </w:r>
      <w:r>
        <w:rPr>
          <w:rFonts w:hint="eastAsia" w:ascii="宋体" w:hAnsi="宋体"/>
          <w:color w:val="auto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lang w:val="en-US" w:eastAsia="zh-CN"/>
        </w:rPr>
        <w:t xml:space="preserve"> 号</w:t>
      </w:r>
      <w:r>
        <w:rPr>
          <w:rFonts w:hint="eastAsia" w:ascii="宋体" w:hAnsi="宋体"/>
          <w:color w:val="auto"/>
          <w:sz w:val="32"/>
        </w:rPr>
        <w:t>：</w:t>
      </w:r>
      <w:bookmarkStart w:id="2" w:name="合同编号"/>
      <w:r>
        <w:rPr>
          <w:rFonts w:hint="eastAsia" w:ascii="宋体" w:hAnsi="宋体"/>
          <w:color w:val="auto"/>
          <w:sz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2"/>
          <w:u w:val="single"/>
        </w:rPr>
        <w:t>0178-2018-20</w:t>
      </w:r>
      <w:bookmarkEnd w:id="2"/>
      <w:r>
        <w:rPr>
          <w:rFonts w:hint="eastAsia" w:ascii="宋体" w:hAnsi="宋体"/>
          <w:color w:val="auto"/>
          <w:sz w:val="32"/>
          <w:u w:val="single"/>
          <w:lang w:val="en-US" w:eastAsia="zh-CN"/>
        </w:rPr>
        <w:t>20</w:t>
      </w:r>
    </w:p>
    <w:p>
      <w:pPr>
        <w:spacing w:line="360" w:lineRule="auto"/>
        <w:ind w:firstLine="1920" w:firstLineChars="400"/>
        <w:jc w:val="left"/>
        <w:rPr>
          <w:rFonts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pacing w:val="80"/>
          <w:sz w:val="32"/>
        </w:rPr>
        <w:t>审核类</w:t>
      </w:r>
      <w:r>
        <w:rPr>
          <w:rFonts w:hint="eastAsia" w:ascii="宋体" w:hAnsi="宋体"/>
          <w:color w:val="auto"/>
          <w:sz w:val="32"/>
        </w:rPr>
        <w:t>型：</w:t>
      </w:r>
      <w:r>
        <w:rPr>
          <w:rFonts w:hint="eastAsia" w:ascii="宋体" w:hAnsi="宋体"/>
          <w:color w:val="auto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color w:val="auto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color w:val="auto"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color w:val="auto"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default" w:ascii="Times New Roman" w:hAnsi="Times New Roman" w:eastAsia="宋体" w:cs="Times New Roman"/>
          <w:bCs/>
          <w:color w:val="auto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bCs/>
          <w:color w:val="auto"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color w:val="auto"/>
          <w:kern w:val="0"/>
          <w:sz w:val="18"/>
          <w:szCs w:val="18"/>
          <w:u w:val="single"/>
        </w:rPr>
        <w:t>0178-2018-20</w:t>
      </w:r>
      <w:bookmarkEnd w:id="3"/>
      <w:r>
        <w:rPr>
          <w:rFonts w:hint="eastAsia" w:ascii="Times New Roman" w:hAnsi="Times New Roman" w:eastAsia="宋体" w:cs="Times New Roman"/>
          <w:bCs/>
          <w:color w:val="auto"/>
          <w:kern w:val="0"/>
          <w:sz w:val="18"/>
          <w:szCs w:val="18"/>
          <w:u w:val="single"/>
          <w:lang w:val="en-US" w:eastAsia="zh-CN"/>
        </w:rPr>
        <w:t>20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62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西玛克(厦门)阀门有限公司</w:t>
            </w:r>
            <w:bookmarkEnd w:id="4"/>
          </w:p>
        </w:tc>
        <w:tc>
          <w:tcPr>
            <w:tcW w:w="16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企业联系人</w:t>
            </w:r>
          </w:p>
        </w:tc>
        <w:tc>
          <w:tcPr>
            <w:tcW w:w="19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杨亚清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bookmarkStart w:id="5" w:name="证书编号"/>
            <w:bookmarkEnd w:id="5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ISC-2018-0368</w:t>
            </w:r>
          </w:p>
        </w:tc>
        <w:tc>
          <w:tcPr>
            <w:tcW w:w="16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证书有效期</w:t>
            </w:r>
          </w:p>
        </w:tc>
        <w:tc>
          <w:tcPr>
            <w:tcW w:w="19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bookmarkStart w:id="6" w:name="证书有效期"/>
            <w:bookmarkEnd w:id="6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2024.01.07 0:00.00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/>
              </w:rPr>
            </w:pPr>
            <w:bookmarkStart w:id="7" w:name="监督次数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第</w:t>
            </w:r>
            <w:bookmarkEnd w:id="7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二次</w:t>
            </w:r>
          </w:p>
        </w:tc>
        <w:tc>
          <w:tcPr>
            <w:tcW w:w="16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9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年11月2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 xml:space="preserve">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王常宁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张志建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ISC[S]0274</w:t>
            </w:r>
          </w:p>
        </w:tc>
        <w:tc>
          <w:tcPr>
            <w:tcW w:w="16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auto"/>
                <w:kern w:val="0"/>
                <w:szCs w:val="21"/>
              </w:rPr>
              <w:t>监督审核涉及的区域或部门</w:t>
            </w:r>
          </w:p>
        </w:tc>
        <w:tc>
          <w:tcPr>
            <w:tcW w:w="19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质量部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、行政部、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生产部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eastAsia="zh-CN"/>
              </w:rPr>
              <w:t>、采购部、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销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售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部</w:t>
            </w:r>
            <w:r>
              <w:rPr>
                <w:rFonts w:hint="eastAsia" w:eastAsia="新宋体"/>
                <w:color w:val="auto"/>
                <w:sz w:val="21"/>
                <w:szCs w:val="21"/>
              </w:rPr>
              <w:t xml:space="preserve">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color w:val="auto"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color w:val="auto"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1.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或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color w:val="auto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color w:val="auto"/>
          <w:szCs w:val="21"/>
        </w:rPr>
        <w:t>提供</w:t>
      </w:r>
      <w:r>
        <w:rPr>
          <w:rFonts w:hint="eastAsia" w:ascii="宋体" w:hAnsi="宋体"/>
          <w:color w:val="auto"/>
          <w:szCs w:val="21"/>
          <w:lang w:eastAsia="zh-CN"/>
        </w:rPr>
        <w:t>了</w:t>
      </w:r>
      <w:r>
        <w:rPr>
          <w:rFonts w:hint="eastAsia" w:ascii="宋体" w:hAnsi="宋体"/>
          <w:color w:val="auto"/>
          <w:szCs w:val="21"/>
        </w:rPr>
        <w:t>重要的</w:t>
      </w:r>
      <w:r>
        <w:rPr>
          <w:rFonts w:hint="eastAsia" w:ascii="宋体" w:hAnsi="宋体"/>
          <w:color w:val="auto"/>
          <w:szCs w:val="21"/>
          <w:lang w:eastAsia="zh-CN"/>
        </w:rPr>
        <w:t>技术</w:t>
      </w:r>
      <w:r>
        <w:rPr>
          <w:rFonts w:hint="eastAsia" w:ascii="宋体" w:hAnsi="宋体"/>
          <w:color w:val="auto"/>
          <w:szCs w:val="21"/>
        </w:rPr>
        <w:t>保证作用</w:t>
      </w:r>
      <w:r>
        <w:rPr>
          <w:rFonts w:hint="eastAsia" w:ascii="宋体" w:hAnsi="宋体"/>
          <w:color w:val="auto"/>
          <w:szCs w:val="21"/>
          <w:lang w:eastAsia="zh-CN"/>
        </w:rPr>
        <w:t>，企业得以快速发展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cs="宋体" w:asciiTheme="minorEastAsia" w:hAnsiTheme="minorEastAsia"/>
          <w:bCs/>
          <w:color w:val="auto"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西玛克(厦门)阀门有限公司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有限公司现场审核中，审核组抽样检查了涉及公司测量体系内的管理、生产、经营、质量和安全等方面的5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工作情况。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西玛克(厦门)阀门有限公司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有限公司测量管理体系的符合性、有效性及持续改进，符合GB/T 19022-2003标准要求，公司测量管理体系正常有序运行，较好地满足了公司生产、安全和持续发展的需要。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内部审核和管理评审的情况：</w:t>
      </w:r>
    </w:p>
    <w:p>
      <w:pPr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3.1公司的测量体系内审：</w:t>
      </w:r>
    </w:p>
    <w:p>
      <w:pPr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年1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日，组织了公司测量管理体系内部审核，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杨亚清、黄丽萍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任组长参与审核。内审组对公司包括管理层在内的5个职能部门和生产车间进行了全要素的审核。内部审核发现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个不符合项，制定了相关的预防纠正措施，并在规定时间内，完成整改工作，不符合项已关闭。</w:t>
      </w:r>
    </w:p>
    <w:p>
      <w:pPr>
        <w:widowControl/>
        <w:spacing w:line="240" w:lineRule="auto"/>
        <w:rPr>
          <w:rFonts w:ascii="宋体" w:cs="宋体"/>
          <w:bCs/>
          <w:color w:val="auto"/>
          <w:kern w:val="0"/>
          <w:szCs w:val="21"/>
        </w:rPr>
      </w:pPr>
      <w:r>
        <w:rPr>
          <w:rFonts w:ascii="宋体" w:hAnsi="宋体" w:cs="宋体"/>
          <w:bCs/>
          <w:color w:val="auto"/>
          <w:kern w:val="0"/>
          <w:szCs w:val="21"/>
        </w:rPr>
        <w:t>3.2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、公司的测量体系管理评审：</w:t>
      </w:r>
    </w:p>
    <w:p>
      <w:pPr>
        <w:ind w:firstLine="315" w:firstLineChars="150"/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0日，开展了测量体系管理评审，会议由</w:t>
      </w:r>
      <w:r>
        <w:rPr>
          <w:rFonts w:hint="eastAsia" w:ascii="宋体" w:hAnsi="宋体"/>
          <w:color w:val="auto"/>
          <w:szCs w:val="21"/>
          <w:lang w:eastAsia="zh-CN"/>
        </w:rPr>
        <w:t>管代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蔡晓辉</w:t>
      </w:r>
      <w:r>
        <w:rPr>
          <w:rFonts w:hint="eastAsia" w:ascii="宋体" w:hAnsi="宋体"/>
          <w:color w:val="auto"/>
          <w:szCs w:val="21"/>
        </w:rPr>
        <w:t>主持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。管评会上肯定了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测量管理体系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运行一年来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的充分性、有效性和适宜性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，为企业的健康快速发展起到积极作用，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形成了管理评审报告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。对公司目前在体系贯彻方面的问题进行了分析，指出公司测量管理体系中存在的薄弱环节是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：1、对测量管理体系中的一些具体要求还需进一步加深理解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2、加强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对体系相关人员的培训指导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2020年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没有新增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关键测量过程，查看了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有的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关键测量过程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阀体压力密封试验测量过程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“材料成</w:t>
      </w:r>
      <w:r>
        <w:rPr>
          <w:rFonts w:hint="eastAsia"/>
          <w:color w:val="auto"/>
        </w:rPr>
        <w:t>份C含量检测</w:t>
      </w:r>
      <w:r>
        <w:rPr>
          <w:rFonts w:hint="eastAsia" w:ascii="宋体" w:hAnsi="宋体"/>
          <w:color w:val="auto"/>
          <w:szCs w:val="21"/>
          <w:lang w:eastAsia="zh-CN"/>
        </w:rPr>
        <w:t>测量过程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对已识别的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33个测量过程，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color w:val="auto"/>
          <w:szCs w:val="21"/>
        </w:rPr>
        <w:t>经过检定/校准和验证，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；有连续监视控制统计（表）图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有效性确认和</w:t>
      </w:r>
      <w:r>
        <w:rPr>
          <w:rFonts w:hint="eastAsia" w:asciiTheme="minorEastAsia" w:hAnsiTheme="minorEastAsia"/>
          <w:bCs/>
          <w:color w:val="auto"/>
          <w:szCs w:val="21"/>
        </w:rPr>
        <w:t>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阀体压力密封试验测量过程</w:t>
      </w:r>
      <w:r>
        <w:rPr>
          <w:rFonts w:hint="eastAsia"/>
          <w:color w:val="auto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</w:p>
    <w:p>
      <w:pPr>
        <w:widowControl/>
        <w:spacing w:line="276" w:lineRule="auto"/>
        <w:rPr>
          <w:rFonts w:ascii="宋体" w:hAnsi="宋体"/>
          <w:bCs/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5.1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 xml:space="preserve">上年度监视没有提出不符合项，提出2个建议项。 </w:t>
      </w:r>
      <w:r>
        <w:rPr>
          <w:rFonts w:hint="eastAsia" w:ascii="宋体" w:hAnsi="宋体"/>
          <w:bCs/>
          <w:color w:val="auto"/>
          <w:szCs w:val="21"/>
        </w:rPr>
        <w:t>公司对提出的建议项很重视，对提出的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建议项内容，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，都有了提高和完善，确认公司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color w:val="auto"/>
          <w:szCs w:val="21"/>
        </w:rPr>
        <w:t>按认真进行自查自纠，能不断完善体系的管理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spacing w:line="24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auto"/>
          <w:szCs w:val="21"/>
        </w:rPr>
        <w:t>本次监督审核共出具一般不符合项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项，未发现严重的或系统性的不符合情况。</w:t>
      </w:r>
    </w:p>
    <w:p>
      <w:pPr>
        <w:widowControl/>
        <w:spacing w:line="240" w:lineRule="auto"/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5.2.1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  <w:t>查：现场在用游标卡尺（编号：10552）,2020年10月5日校准，没有计量确认合格标识。不符合GB/T 19022-2003标准的6.2.4条款。</w:t>
      </w:r>
    </w:p>
    <w:p>
      <w:pPr>
        <w:widowControl/>
        <w:spacing w:line="240" w:lineRule="auto"/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5.2.2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  <w:t>查：技术质量部没有按照外部供方管理要求，对校准服务方“上海捷祥测控技术有限   公司”的资质能力、服务质量进行评价，并记录保存评价结果。不符合GB/T 19022-2003标准的6.4条款。</w:t>
      </w:r>
    </w:p>
    <w:p>
      <w:pPr>
        <w:widowControl/>
        <w:spacing w:line="240" w:lineRule="auto"/>
        <w:rPr>
          <w:rFonts w:hint="default" w:ascii="宋体" w:hAnsi="宋体"/>
          <w:color w:val="auto"/>
          <w:szCs w:val="21"/>
          <w:lang w:val="en-US" w:eastAsia="zh-CN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ind w:firstLine="315" w:firstLineChars="15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内容基本覆盖标准要素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 w:eastAsia="新宋体"/>
          <w:bCs/>
          <w:color w:val="auto"/>
          <w:sz w:val="21"/>
          <w:szCs w:val="21"/>
          <w:lang w:eastAsia="zh-CN"/>
        </w:rPr>
        <w:t>技术质量部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季度</w:t>
      </w:r>
      <w:r>
        <w:rPr>
          <w:rFonts w:hint="eastAsia" w:ascii="宋体" w:hAnsi="宋体"/>
          <w:bCs/>
          <w:color w:val="auto"/>
          <w:szCs w:val="21"/>
        </w:rPr>
        <w:t>对目标的完成情况进行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</w:t>
      </w:r>
      <w:r>
        <w:rPr>
          <w:rFonts w:hint="eastAsia" w:ascii="宋体" w:hAnsi="宋体"/>
          <w:bCs/>
          <w:color w:val="auto"/>
          <w:szCs w:val="21"/>
        </w:rPr>
        <w:t>考核</w:t>
      </w:r>
      <w:r>
        <w:rPr>
          <w:rFonts w:hint="eastAsia" w:ascii="宋体" w:hAnsi="宋体"/>
          <w:bCs/>
          <w:color w:val="auto"/>
          <w:szCs w:val="21"/>
          <w:lang w:eastAsia="zh-CN"/>
        </w:rPr>
        <w:t>，均已完成目标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2020年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满意度</w:t>
      </w:r>
      <w:r>
        <w:rPr>
          <w:rFonts w:hint="eastAsia" w:asciiTheme="minorEastAsia" w:hAnsiTheme="minorEastAsia"/>
          <w:bCs/>
          <w:color w:val="auto"/>
          <w:szCs w:val="21"/>
        </w:rPr>
        <w:t>反馈为9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color w:val="auto"/>
          <w:szCs w:val="21"/>
        </w:rPr>
        <w:t>%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2020年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内部顾客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度</w:t>
      </w:r>
      <w:r>
        <w:rPr>
          <w:rFonts w:hint="eastAsia" w:asciiTheme="minorEastAsia" w:hAnsiTheme="minorEastAsia"/>
          <w:bCs/>
          <w:color w:val="auto"/>
          <w:szCs w:val="21"/>
        </w:rPr>
        <w:t>反馈为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96.2</w:t>
      </w:r>
      <w:r>
        <w:rPr>
          <w:rFonts w:hint="eastAsia" w:asciiTheme="minorEastAsia" w:hAnsiTheme="minorEastAsia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</w:rPr>
        <w:t>每季度对目标的完成情况进行考核，年底汇总统计。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招投标加分。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 xml:space="preserve">10. 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本企</w:t>
      </w:r>
      <w:r>
        <w:rPr>
          <w:rFonts w:hint="eastAsia" w:ascii="宋体" w:hAnsi="宋体"/>
          <w:color w:val="auto"/>
          <w:szCs w:val="21"/>
          <w:lang w:eastAsia="zh-CN"/>
        </w:rPr>
        <w:t>业为非重点用能单位，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年1~10月生产用电耗为</w:t>
      </w:r>
      <w:r>
        <w:rPr>
          <w:rFonts w:hint="eastAsia"/>
          <w:bCs/>
          <w:color w:val="auto"/>
          <w:szCs w:val="21"/>
          <w:lang w:val="en-US" w:eastAsia="zh-CN"/>
        </w:rPr>
        <w:t>101005</w:t>
      </w:r>
      <w:r>
        <w:rPr>
          <w:rFonts w:hint="eastAsia"/>
          <w:bCs/>
          <w:color w:val="auto"/>
          <w:szCs w:val="21"/>
        </w:rPr>
        <w:t>千瓦时，用水</w:t>
      </w:r>
      <w:r>
        <w:rPr>
          <w:rFonts w:hint="eastAsia"/>
          <w:bCs/>
          <w:color w:val="auto"/>
          <w:szCs w:val="21"/>
          <w:lang w:val="en-US" w:eastAsia="zh-CN"/>
        </w:rPr>
        <w:t>3400</w:t>
      </w:r>
      <w:r>
        <w:rPr>
          <w:rFonts w:hint="eastAsia"/>
          <w:bCs/>
          <w:color w:val="auto"/>
          <w:szCs w:val="21"/>
        </w:rPr>
        <w:t>吨。用电折算标煤</w:t>
      </w:r>
      <w:r>
        <w:rPr>
          <w:rFonts w:hint="eastAsia"/>
          <w:bCs/>
          <w:color w:val="auto"/>
          <w:szCs w:val="21"/>
          <w:lang w:val="en-US" w:eastAsia="zh-CN"/>
        </w:rPr>
        <w:t>0.0013</w:t>
      </w:r>
      <w:r>
        <w:rPr>
          <w:rFonts w:hint="eastAsia"/>
          <w:bCs/>
          <w:color w:val="auto"/>
          <w:szCs w:val="21"/>
        </w:rPr>
        <w:t xml:space="preserve">万吨。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通过20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年11月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27</w:t>
      </w:r>
      <w:r>
        <w:rPr>
          <w:rFonts w:hint="eastAsia" w:ascii="宋体" w:hAnsi="宋体"/>
          <w:bCs/>
          <w:color w:val="auto"/>
          <w:szCs w:val="21"/>
        </w:rPr>
        <w:t>日</w:t>
      </w:r>
      <w:r>
        <w:rPr>
          <w:rFonts w:hint="eastAsia" w:ascii="宋体" w:hAnsi="宋体"/>
          <w:bCs/>
          <w:color w:val="auto"/>
          <w:szCs w:val="21"/>
          <w:lang w:eastAsia="zh-CN"/>
        </w:rPr>
        <w:t>一天时间</w:t>
      </w:r>
      <w:r>
        <w:rPr>
          <w:rFonts w:hint="eastAsia" w:ascii="宋体" w:hAnsi="宋体"/>
          <w:bCs/>
          <w:color w:val="auto"/>
          <w:szCs w:val="21"/>
        </w:rPr>
        <w:t>，对</w:t>
      </w:r>
      <w:r>
        <w:rPr>
          <w:rFonts w:hint="eastAsia" w:ascii="宋体" w:hAnsi="宋体"/>
          <w:bCs/>
          <w:color w:val="auto"/>
          <w:szCs w:val="21"/>
          <w:lang w:eastAsia="zh-CN"/>
        </w:rPr>
        <w:t>西玛克(厦门)阀门有限公司</w:t>
      </w:r>
      <w:r>
        <w:rPr>
          <w:rFonts w:hint="eastAsia" w:ascii="宋体" w:hAnsi="宋体"/>
          <w:bCs/>
          <w:color w:val="auto"/>
          <w:szCs w:val="21"/>
        </w:rPr>
        <w:t>有限公司测量管理现场监督审核，验证了公司在测量管理体系实现认证后</w:t>
      </w:r>
      <w:r>
        <w:rPr>
          <w:rFonts w:hint="eastAsia" w:ascii="宋体" w:hAnsi="宋体"/>
          <w:bCs/>
          <w:color w:val="auto"/>
          <w:szCs w:val="21"/>
          <w:lang w:eastAsia="zh-CN"/>
        </w:rPr>
        <w:t>一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eastAsia="zh-CN"/>
        </w:rPr>
        <w:t>来</w:t>
      </w:r>
      <w:r>
        <w:rPr>
          <w:rFonts w:hint="eastAsia" w:ascii="宋体" w:hAnsi="宋体"/>
          <w:bCs/>
          <w:color w:val="auto"/>
          <w:szCs w:val="21"/>
        </w:rPr>
        <w:t>，公司领导重视体系运行和管理，体系文件得到有效实施，关键测量过程受控、监视方法正确有效，测量设备</w:t>
      </w:r>
      <w:r>
        <w:rPr>
          <w:rFonts w:hint="eastAsia" w:ascii="宋体" w:hAnsi="宋体"/>
          <w:bCs/>
          <w:color w:val="auto"/>
          <w:szCs w:val="21"/>
          <w:lang w:eastAsia="zh-CN"/>
        </w:rPr>
        <w:t>量值溯源</w:t>
      </w:r>
      <w:r>
        <w:rPr>
          <w:rFonts w:hint="eastAsia" w:ascii="宋体" w:hAnsi="宋体"/>
          <w:bCs/>
          <w:color w:val="auto"/>
          <w:szCs w:val="21"/>
        </w:rPr>
        <w:t>、测量记录各项工作，比上一年度有进步，使公司测量体系持续满足顾客的测量要求。综上所述，审核组认为</w:t>
      </w:r>
      <w:r>
        <w:rPr>
          <w:rFonts w:hint="eastAsia" w:ascii="宋体" w:hAnsi="宋体"/>
          <w:bCs/>
          <w:color w:val="auto"/>
          <w:szCs w:val="21"/>
          <w:lang w:eastAsia="zh-CN"/>
        </w:rPr>
        <w:t>：西玛克(厦门)阀门有限公司</w:t>
      </w:r>
      <w:r>
        <w:rPr>
          <w:rFonts w:hint="eastAsia" w:ascii="宋体" w:hAnsi="宋体"/>
          <w:bCs/>
          <w:color w:val="auto"/>
          <w:szCs w:val="21"/>
        </w:rPr>
        <w:t>基本符合GB/T 19022-2003标准要求，对体系运行具有持续的有效性、符合性予以肯定。建议报请国标联合认证有限公司批准</w:t>
      </w:r>
      <w:r>
        <w:rPr>
          <w:rFonts w:hint="eastAsia" w:ascii="宋体" w:hAnsi="宋体"/>
          <w:bCs/>
          <w:color w:val="auto"/>
          <w:szCs w:val="21"/>
          <w:lang w:eastAsia="zh-CN"/>
        </w:rPr>
        <w:t>西玛克(厦门)阀门有限公司</w:t>
      </w:r>
      <w:r>
        <w:rPr>
          <w:rFonts w:hint="eastAsia" w:ascii="宋体" w:hAnsi="宋体"/>
          <w:bCs/>
          <w:color w:val="auto"/>
          <w:szCs w:val="21"/>
        </w:rPr>
        <w:t>通过监督审核。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2条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40" w:lineRule="auto"/>
        <w:ind w:leftChars="0" w:firstLine="420" w:firstLineChars="200"/>
        <w:jc w:val="left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进一步加强</w:t>
      </w:r>
      <w:r>
        <w:rPr>
          <w:rFonts w:hint="eastAsia" w:ascii="宋体" w:hAnsi="宋体" w:cs="宋体"/>
          <w:b w:val="0"/>
          <w:bCs/>
          <w:color w:val="auto"/>
          <w:kern w:val="0"/>
          <w:szCs w:val="21"/>
          <w:lang w:eastAsia="zh-CN"/>
        </w:rPr>
        <w:t>提高对测量设备及校准证书进行确认，保证测量设备量值溯源准确可靠</w:t>
      </w:r>
      <w:r>
        <w:rPr>
          <w:rFonts w:hint="eastAsia" w:ascii="宋体" w:hAnsi="宋体"/>
          <w:bCs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加强标准的学习和宣贯，可以将测量管理体系和其他体系相融合，不断提升企业的管理水平。</w:t>
      </w:r>
    </w:p>
    <w:p>
      <w:pPr>
        <w:widowControl/>
        <w:spacing w:line="276" w:lineRule="auto"/>
        <w:ind w:right="945" w:firstLine="420" w:firstLineChars="200"/>
        <w:jc w:val="both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ascii="宋体" w:hAnsi="宋体" w:eastAsia="宋体" w:cs="宋体"/>
          <w:color w:val="auto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numPr>
          <w:ilvl w:val="0"/>
          <w:numId w:val="3"/>
        </w:numPr>
        <w:spacing w:line="276" w:lineRule="auto"/>
        <w:ind w:left="0" w:leftChars="0" w:right="1365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报告审查人意见</w:t>
      </w:r>
    </w:p>
    <w:p>
      <w:pPr>
        <w:widowControl/>
        <w:numPr>
          <w:ilvl w:val="0"/>
          <w:numId w:val="0"/>
        </w:numPr>
        <w:spacing w:line="276" w:lineRule="auto"/>
        <w:ind w:leftChars="0" w:right="1365" w:rightChars="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ind w:leftChars="0" w:right="1365" w:rightChars="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spacing w:line="276" w:lineRule="auto"/>
        <w:ind w:firstLine="3150" w:firstLineChars="1500"/>
        <w:jc w:val="left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机构</w:t>
      </w:r>
      <w:r>
        <w:rPr>
          <w:rFonts w:ascii="宋体" w:hAnsi="宋体" w:eastAsia="宋体" w:cs="宋体"/>
          <w:b/>
          <w:color w:val="auto"/>
          <w:kern w:val="0"/>
          <w:szCs w:val="28"/>
        </w:rPr>
        <w:t>负责人</w:t>
      </w:r>
      <w:r>
        <w:rPr>
          <w:rFonts w:hint="eastAsia" w:ascii="宋体" w:hAnsi="宋体" w:eastAsia="宋体" w:cs="宋体"/>
          <w:color w:val="auto"/>
          <w:kern w:val="0"/>
          <w:szCs w:val="28"/>
        </w:rPr>
        <w:t>(</w:t>
      </w:r>
      <w:r>
        <w:rPr>
          <w:rFonts w:ascii="宋体" w:hAnsi="宋体" w:eastAsia="宋体" w:cs="宋体"/>
          <w:color w:val="auto"/>
          <w:kern w:val="0"/>
          <w:szCs w:val="28"/>
        </w:rPr>
        <w:t>签字</w:t>
      </w:r>
      <w:r>
        <w:rPr>
          <w:rFonts w:hint="eastAsia" w:ascii="宋体" w:hAnsi="宋体" w:eastAsia="宋体" w:cs="宋体"/>
          <w:color w:val="auto"/>
          <w:kern w:val="0"/>
          <w:szCs w:val="28"/>
        </w:rPr>
        <w:t>)</w:t>
      </w:r>
      <w:r>
        <w:rPr>
          <w:rFonts w:ascii="宋体" w:hAnsi="宋体" w:eastAsia="宋体" w:cs="宋体"/>
          <w:color w:val="auto"/>
          <w:kern w:val="0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Cs w:val="28"/>
          <w:lang w:val="en-US" w:eastAsia="zh-CN"/>
        </w:rPr>
        <w:t xml:space="preserve">                             </w:t>
      </w:r>
      <w:r>
        <w:rPr>
          <w:rFonts w:ascii="宋体" w:hAnsi="宋体" w:eastAsia="宋体" w:cs="宋体"/>
          <w:color w:val="auto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169545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7183FF"/>
    <w:multiLevelType w:val="singleLevel"/>
    <w:tmpl w:val="917183FF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E2EC9D5"/>
    <w:multiLevelType w:val="singleLevel"/>
    <w:tmpl w:val="1E2EC9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A1146"/>
    <w:rsid w:val="03F133CB"/>
    <w:rsid w:val="079615DA"/>
    <w:rsid w:val="0A7A7EF3"/>
    <w:rsid w:val="0ABC2274"/>
    <w:rsid w:val="0B326315"/>
    <w:rsid w:val="0C0F0062"/>
    <w:rsid w:val="16117989"/>
    <w:rsid w:val="1BCA1EAB"/>
    <w:rsid w:val="1C8700BD"/>
    <w:rsid w:val="1D4E7586"/>
    <w:rsid w:val="22A017A3"/>
    <w:rsid w:val="28992A73"/>
    <w:rsid w:val="336F3641"/>
    <w:rsid w:val="3C830798"/>
    <w:rsid w:val="4A1C1F7D"/>
    <w:rsid w:val="4AB521F8"/>
    <w:rsid w:val="6488786B"/>
    <w:rsid w:val="65E81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2020-11-27T09:34:41Z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