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勾选"/>
      <w:bookmarkStart w:id="1" w:name="Q勾选"/>
      <w:r>
        <w:rPr>
          <w:rFonts w:hint="eastAsia"/>
          <w:b/>
          <w:sz w:val="22"/>
          <w:szCs w:val="22"/>
        </w:rPr>
        <w:t>■</w:t>
      </w:r>
      <w:bookmarkEnd w:id="0"/>
      <w:bookmarkEnd w:id="1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</w:p>
    <w:tbl>
      <w:tblPr>
        <w:tblStyle w:val="5"/>
        <w:tblW w:w="10673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323"/>
        <w:gridCol w:w="1280"/>
        <w:gridCol w:w="1217"/>
        <w:gridCol w:w="1505"/>
        <w:gridCol w:w="1720"/>
        <w:gridCol w:w="13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重庆中铝华西铝业有限公司</w:t>
            </w:r>
            <w:bookmarkEnd w:id="4"/>
          </w:p>
        </w:tc>
        <w:tc>
          <w:tcPr>
            <w:tcW w:w="1720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专业代码"/>
            <w:r>
              <w:rPr>
                <w:b/>
                <w:sz w:val="20"/>
              </w:rPr>
              <w:t>O：17.09.00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E：17.09.00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Q：17.09.00</w:t>
            </w:r>
            <w:bookmarkEnd w:id="5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60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文平</w:t>
            </w:r>
          </w:p>
        </w:tc>
        <w:tc>
          <w:tcPr>
            <w:tcW w:w="1217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O：17.09.00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E：17.09.00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Q：17.09.00</w:t>
            </w: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323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张心</w:t>
            </w:r>
          </w:p>
        </w:tc>
        <w:tc>
          <w:tcPr>
            <w:tcW w:w="128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杨珍全</w:t>
            </w:r>
          </w:p>
        </w:tc>
        <w:tc>
          <w:tcPr>
            <w:tcW w:w="1217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90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323" w:type="dxa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O：17.09.00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E：17.09.00</w:t>
            </w:r>
          </w:p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Q：17.09.00</w:t>
            </w:r>
          </w:p>
        </w:tc>
        <w:tc>
          <w:tcPr>
            <w:tcW w:w="1280" w:type="dxa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O：17.09.00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E：17.09.00</w:t>
            </w:r>
          </w:p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Q：17.09.00</w:t>
            </w:r>
          </w:p>
        </w:tc>
        <w:tc>
          <w:tcPr>
            <w:tcW w:w="1217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铝制品</w:t>
            </w:r>
            <w:r>
              <w:rPr>
                <w:rFonts w:hint="eastAsia" w:ascii="宋体" w:hAnsi="宋体"/>
                <w:szCs w:val="21"/>
              </w:rPr>
              <w:t>制作</w:t>
            </w:r>
            <w:r>
              <w:rPr>
                <w:rFonts w:hint="eastAsia" w:ascii="宋体" w:hAnsi="宋体" w:cs="Arial"/>
                <w:szCs w:val="21"/>
              </w:rPr>
              <w:t>流程：</w:t>
            </w:r>
          </w:p>
          <w:p>
            <w:pPr>
              <w:rPr>
                <w:rStyle w:val="11"/>
                <w:rFonts w:hint="eastAsia" w:ascii="宋体" w:hAnsi="宋体" w:eastAsia="宋体"/>
                <w:color w:val="auto"/>
                <w:szCs w:val="21"/>
                <w:highlight w:val="green"/>
                <w:lang w:eastAsia="zh-CN"/>
              </w:rPr>
            </w:pPr>
            <w:r>
              <w:rPr>
                <w:rStyle w:val="11"/>
                <w:rFonts w:hint="eastAsia" w:ascii="宋体" w:hAnsi="宋体"/>
                <w:color w:val="auto"/>
                <w:szCs w:val="21"/>
                <w:highlight w:val="green"/>
                <w:lang w:val="en-US" w:eastAsia="zh-CN"/>
              </w:rPr>
              <w:t>粗轧</w:t>
            </w:r>
            <w:r>
              <w:rPr>
                <w:rStyle w:val="11"/>
                <w:rFonts w:hint="eastAsia" w:ascii="宋体" w:hAnsi="宋体"/>
                <w:color w:val="auto"/>
                <w:szCs w:val="21"/>
                <w:highlight w:val="green"/>
              </w:rPr>
              <w:t>--</w:t>
            </w:r>
            <w:r>
              <w:rPr>
                <w:rStyle w:val="11"/>
                <w:rFonts w:hint="eastAsia" w:ascii="宋体" w:hAnsi="宋体"/>
                <w:color w:val="auto"/>
                <w:szCs w:val="21"/>
                <w:highlight w:val="green"/>
                <w:lang w:val="en-US" w:eastAsia="zh-CN"/>
              </w:rPr>
              <w:t>退火</w:t>
            </w:r>
            <w:r>
              <w:rPr>
                <w:rStyle w:val="11"/>
                <w:rFonts w:hint="eastAsia" w:ascii="宋体" w:hAnsi="宋体"/>
                <w:color w:val="auto"/>
                <w:szCs w:val="21"/>
                <w:highlight w:val="green"/>
              </w:rPr>
              <w:t>——</w:t>
            </w:r>
            <w:r>
              <w:rPr>
                <w:rStyle w:val="11"/>
                <w:rFonts w:hint="eastAsia" w:ascii="宋体" w:hAnsi="宋体"/>
                <w:color w:val="auto"/>
                <w:szCs w:val="21"/>
                <w:highlight w:val="green"/>
                <w:lang w:val="en-US" w:eastAsia="zh-CN"/>
              </w:rPr>
              <w:t>精轧</w:t>
            </w:r>
            <w:r>
              <w:rPr>
                <w:rStyle w:val="11"/>
                <w:rFonts w:hint="eastAsia" w:ascii="宋体" w:hAnsi="宋体"/>
                <w:color w:val="auto"/>
                <w:szCs w:val="21"/>
                <w:highlight w:val="green"/>
              </w:rPr>
              <w:t>--</w:t>
            </w:r>
            <w:r>
              <w:rPr>
                <w:rStyle w:val="11"/>
                <w:rFonts w:hint="eastAsia" w:ascii="宋体" w:hAnsi="宋体"/>
                <w:color w:val="auto"/>
                <w:szCs w:val="21"/>
                <w:highlight w:val="green"/>
                <w:lang w:val="en-US" w:eastAsia="zh-CN"/>
              </w:rPr>
              <w:t>分卷</w:t>
            </w:r>
            <w:r>
              <w:rPr>
                <w:rStyle w:val="11"/>
                <w:rFonts w:hint="eastAsia" w:ascii="宋体" w:hAnsi="宋体"/>
                <w:color w:val="auto"/>
                <w:szCs w:val="21"/>
                <w:highlight w:val="green"/>
              </w:rPr>
              <w:t>--</w:t>
            </w:r>
            <w:r>
              <w:rPr>
                <w:rStyle w:val="11"/>
                <w:rFonts w:hint="eastAsia" w:ascii="宋体" w:hAnsi="宋体"/>
                <w:color w:val="auto"/>
                <w:szCs w:val="21"/>
                <w:highlight w:val="green"/>
                <w:lang w:val="en-US" w:eastAsia="zh-CN"/>
              </w:rPr>
              <w:t>退火</w:t>
            </w:r>
            <w:r>
              <w:rPr>
                <w:rStyle w:val="11"/>
                <w:rFonts w:hint="eastAsia" w:ascii="宋体" w:hAnsi="宋体"/>
                <w:color w:val="auto"/>
                <w:szCs w:val="21"/>
                <w:highlight w:val="green"/>
              </w:rPr>
              <w:t>--</w:t>
            </w:r>
            <w:r>
              <w:rPr>
                <w:rStyle w:val="11"/>
                <w:rFonts w:hint="eastAsia" w:ascii="宋体" w:hAnsi="宋体"/>
                <w:color w:val="auto"/>
                <w:szCs w:val="21"/>
                <w:highlight w:val="green"/>
                <w:lang w:val="en-US" w:eastAsia="zh-CN"/>
              </w:rPr>
              <w:t>检验</w:t>
            </w:r>
            <w:r>
              <w:rPr>
                <w:rStyle w:val="11"/>
                <w:rFonts w:hint="eastAsia" w:ascii="宋体" w:hAnsi="宋体"/>
                <w:color w:val="auto"/>
                <w:szCs w:val="21"/>
                <w:highlight w:val="green"/>
              </w:rPr>
              <w:t>—</w:t>
            </w:r>
            <w:r>
              <w:rPr>
                <w:rStyle w:val="11"/>
                <w:rFonts w:hint="eastAsia" w:ascii="宋体" w:hAnsi="宋体"/>
                <w:color w:val="auto"/>
                <w:szCs w:val="21"/>
                <w:highlight w:val="green"/>
                <w:lang w:val="en-US" w:eastAsia="zh-CN"/>
              </w:rPr>
              <w:t>入库</w:t>
            </w:r>
          </w:p>
          <w:p>
            <w:pPr>
              <w:rPr>
                <w:rStyle w:val="11"/>
                <w:rFonts w:ascii="宋体" w:hAnsi="宋体"/>
                <w:color w:val="auto"/>
                <w:szCs w:val="21"/>
                <w:highlight w:val="green"/>
              </w:rPr>
            </w:pPr>
            <w:r>
              <w:rPr>
                <w:rStyle w:val="11"/>
                <w:rFonts w:hint="eastAsia" w:ascii="宋体" w:hAnsi="宋体"/>
                <w:color w:val="auto"/>
                <w:szCs w:val="21"/>
                <w:highlight w:val="green"/>
                <w:lang w:val="en-US" w:eastAsia="zh-CN"/>
              </w:rPr>
              <w:t>压延</w:t>
            </w:r>
            <w:r>
              <w:rPr>
                <w:rStyle w:val="11"/>
                <w:rFonts w:hint="eastAsia" w:ascii="宋体" w:hAnsi="宋体"/>
                <w:color w:val="auto"/>
                <w:szCs w:val="21"/>
                <w:highlight w:val="green"/>
              </w:rPr>
              <w:t>、</w:t>
            </w:r>
            <w:r>
              <w:rPr>
                <w:rStyle w:val="11"/>
                <w:rFonts w:hint="eastAsia" w:ascii="宋体" w:hAnsi="宋体"/>
                <w:color w:val="auto"/>
                <w:szCs w:val="21"/>
                <w:highlight w:val="green"/>
                <w:lang w:val="en-US" w:eastAsia="zh-CN"/>
              </w:rPr>
              <w:t>热处理</w:t>
            </w:r>
            <w:r>
              <w:rPr>
                <w:rFonts w:hint="eastAsia" w:ascii="宋体" w:hAnsi="宋体"/>
                <w:szCs w:val="21"/>
                <w:highlight w:val="green"/>
              </w:rPr>
              <w:t>过程为关键过程。</w:t>
            </w:r>
          </w:p>
          <w:p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85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6"/>
            <w:vAlign w:val="top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生产过程，依据作业指导书控制。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6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>固废、噪声、粉尘、废水和潜在火灾，采取分类收集、管理方案和预案措施管理。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>机械伤害、火灾、职业病、中暑、触电，采取制定管理方案控制，潜在火灾采取应急预案并演练方式进行控制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《工业用纯铝箔》</w:t>
            </w:r>
            <w:r>
              <w:rPr>
                <w:rFonts w:hint="eastAsia" w:ascii="宋体" w:hAnsi="宋体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szCs w:val="21"/>
              </w:rPr>
              <w:t>GB3198-1996</w:t>
            </w:r>
            <w:r>
              <w:rPr>
                <w:rFonts w:hint="eastAsia" w:ascii="宋体" w:hAnsi="宋体"/>
                <w:szCs w:val="21"/>
                <w:lang w:eastAsia="zh-CN"/>
              </w:rPr>
              <w:t>）</w:t>
            </w:r>
            <w:r>
              <w:rPr>
                <w:rFonts w:hint="eastAsia" w:ascii="宋体" w:hAnsi="宋体"/>
                <w:szCs w:val="21"/>
              </w:rPr>
              <w:t>。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检验项目：外观、尺寸、强度性能等</w:t>
            </w:r>
            <w:bookmarkStart w:id="6" w:name="_GoBack"/>
            <w:bookmarkEnd w:id="6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/>
          <w:b/>
          <w:sz w:val="22"/>
          <w:szCs w:val="22"/>
        </w:rPr>
      </w:pPr>
      <w:r>
        <w:rPr>
          <w:rFonts w:hint="eastAsia" w:ascii="宋体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hint="eastAsia" w:ascii="宋体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hint="eastAsia" w:ascii="宋体"/>
          <w:b/>
          <w:sz w:val="18"/>
          <w:szCs w:val="18"/>
        </w:rPr>
        <w:t xml:space="preserve">：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 xml:space="preserve">：                              </w:t>
      </w:r>
      <w:r>
        <w:rPr>
          <w:rFonts w:hint="eastAsia" w:ascii="宋体"/>
          <w:b/>
          <w:sz w:val="22"/>
          <w:szCs w:val="22"/>
        </w:rPr>
        <w:t>审核组长</w:t>
      </w:r>
      <w:r>
        <w:rPr>
          <w:rFonts w:hint="eastAsia" w:ascii="宋体"/>
          <w:b/>
          <w:sz w:val="18"/>
          <w:szCs w:val="18"/>
        </w:rPr>
        <w:t xml:space="preserve">：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>
      <w:pPr>
        <w:snapToGrid w:val="0"/>
        <w:rPr>
          <w:rFonts w:ascii="宋体"/>
          <w:b/>
          <w:spacing w:val="-6"/>
          <w:sz w:val="18"/>
          <w:szCs w:val="18"/>
        </w:rPr>
      </w:pPr>
    </w:p>
    <w:p>
      <w:pPr>
        <w:snapToGrid w:val="0"/>
        <w:rPr>
          <w:rFonts w:ascii="宋体"/>
          <w:b/>
          <w:spacing w:val="-6"/>
          <w:sz w:val="20"/>
        </w:rPr>
      </w:pPr>
      <w:r>
        <w:rPr>
          <w:rFonts w:hint="eastAsia" w:ascii="宋体"/>
          <w:b/>
          <w:spacing w:val="-6"/>
          <w:sz w:val="18"/>
          <w:szCs w:val="18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0"/>
        <w:rFonts w:hint="default"/>
      </w:rPr>
    </w:pPr>
    <w:r>
      <w:pict>
        <v:shape id="图片 24" o:spid="_x0000_s2049" o:spt="75" type="#_x0000_t75" style="position:absolute;left:0pt;margin-left:-0.05pt;margin-top:0.35pt;height:34.1pt;width:32.3pt;mso-wrap-distance-left:9pt;mso-wrap-distance-right:9pt;z-index:-251658240;mso-width-relative:page;mso-height-relative:page;" filled="f" o:preferrelative="t" stroked="f" coordsize="21600,21600" wrapcoords="21592 -2 0 0 0 21600 21592 21602 8 21602 21600 21600 21600 0 8 -2 21592 -2">
          <v:path/>
          <v:fill on="f" focussize="0,0"/>
          <v:stroke on="f" joinstyle="miter"/>
          <v:imagedata r:id="rId1" o:title=""/>
          <o:lock v:ext="edit" aspectratio="t"/>
          <w10:wrap type="tight"/>
        </v:shape>
      </w:pict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文本框 1" o:spid="_x0000_s2050" o:spt="202" type="#_x0000_t202" style="position:absolute;left:0pt;margin-left:325.25pt;margin-top:2.2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</w:t>
                </w:r>
                <w:r>
                  <w:rPr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>专业培训记录(03版)</w:t>
                </w:r>
              </w:p>
            </w:txbxContent>
          </v:textbox>
        </v:shape>
      </w:pict>
    </w:r>
    <w:r>
      <w:rPr>
        <w:rStyle w:val="10"/>
        <w:rFonts w:hint="default"/>
        <w:w w:val="90"/>
      </w:rPr>
      <w:t>Beijing International Standard united Certification Co.,Ltd.</w:t>
    </w:r>
  </w:p>
  <w:p>
    <w:pPr>
      <w:pStyle w:val="4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0B9F001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字符"/>
    <w:link w:val="3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字符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字符"/>
    <w:link w:val="2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1">
    <w:name w:val="占位符文本1"/>
    <w:basedOn w:val="6"/>
    <w:semiHidden/>
    <w:qFormat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47</Words>
  <Characters>268</Characters>
  <Lines>2</Lines>
  <Paragraphs>1</Paragraphs>
  <TotalTime>0</TotalTime>
  <ScaleCrop>false</ScaleCrop>
  <LinksUpToDate>false</LinksUpToDate>
  <CharactersWithSpaces>314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Dell</cp:lastModifiedBy>
  <dcterms:modified xsi:type="dcterms:W3CDTF">2019-10-06T07:39:53Z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