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r>
        <w:rPr>
          <w:rFonts w:hint="eastAsia"/>
          <w:sz w:val="21"/>
          <w:szCs w:val="21"/>
          <w:u w:val="single"/>
        </w:rPr>
        <w:t>0644-2020-FH</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r>
        <w:rPr>
          <w:rFonts w:hint="eastAsia"/>
          <w:sz w:val="28"/>
          <w:szCs w:val="28"/>
          <w:u w:val="single"/>
          <w:lang w:val="en-US" w:eastAsia="zh-CN"/>
        </w:rPr>
        <w:t>南京佐景电子商务有限公司</w:t>
      </w:r>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3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spacing w:line="280" w:lineRule="exact"/>
              <w:rPr>
                <w:rFonts w:ascii="宋体"/>
                <w:b/>
                <w:color w:val="000000"/>
                <w:szCs w:val="21"/>
              </w:rPr>
            </w:pPr>
            <w:r>
              <w:rPr>
                <w:rFonts w:hint="eastAsia"/>
                <w:sz w:val="21"/>
                <w:szCs w:val="21"/>
                <w:lang w:val="en-US" w:eastAsia="zh-CN"/>
              </w:rPr>
              <w:t>南京佐景电子商务有限公司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r>
              <w:rPr>
                <w:rFonts w:hint="eastAsia"/>
                <w:sz w:val="21"/>
                <w:szCs w:val="21"/>
                <w:lang w:val="en-US" w:eastAsia="zh-CN"/>
              </w:rPr>
              <w:t>南京市溧水区石湫街道影视大道9号</w:t>
            </w:r>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p/>
        </w:tc>
        <w:tc>
          <w:tcPr>
            <w:tcW w:w="1771" w:type="dxa"/>
          </w:tcPr>
          <w:p>
            <w:pPr>
              <w:spacing w:line="280" w:lineRule="exact"/>
              <w:rPr>
                <w:rFonts w:hint="default" w:ascii="宋体" w:eastAsia="宋体"/>
                <w:b/>
                <w:color w:val="000000"/>
                <w:szCs w:val="21"/>
                <w:lang w:val="en-US" w:eastAsia="zh-CN"/>
              </w:rPr>
            </w:pPr>
            <w:r>
              <w:rPr>
                <w:rFonts w:hint="eastAsia" w:ascii="宋体" w:hAnsi="宋体"/>
                <w:lang w:val="en-US" w:eastAsia="zh-CN"/>
              </w:rPr>
              <w:t>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sz w:val="21"/>
                <w:szCs w:val="21"/>
                <w:lang w:val="en-US" w:eastAsia="zh-CN"/>
              </w:rPr>
              <w:t>江苏省南京市溧水区石湫街道雨山路1号石湫街道办事处</w:t>
            </w:r>
          </w:p>
        </w:tc>
        <w:tc>
          <w:tcPr>
            <w:tcW w:w="1242" w:type="dxa"/>
            <w:vMerge w:val="continue"/>
            <w:vAlign w:val="center"/>
          </w:tcPr>
          <w:p/>
        </w:tc>
        <w:tc>
          <w:tcPr>
            <w:tcW w:w="1771" w:type="dxa"/>
          </w:tcPr>
          <w:p>
            <w:pPr>
              <w:spacing w:line="280" w:lineRule="exact"/>
              <w:rPr>
                <w:rFonts w:hint="default" w:ascii="宋体" w:eastAsia="宋体"/>
                <w:b/>
                <w:color w:val="000000"/>
                <w:szCs w:val="21"/>
                <w:lang w:val="en-US" w:eastAsia="zh-CN"/>
              </w:rPr>
            </w:pPr>
            <w:r>
              <w:rPr>
                <w:rFonts w:hint="eastAsia" w:ascii="宋体" w:hAnsi="宋体"/>
                <w:lang w:val="en-US" w:eastAsia="zh-CN"/>
              </w:rPr>
              <w:t>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sz w:val="21"/>
                <w:szCs w:val="21"/>
              </w:rPr>
              <w:t>张西然</w:t>
            </w:r>
          </w:p>
        </w:tc>
        <w:tc>
          <w:tcPr>
            <w:tcW w:w="1313"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电话</w:t>
            </w:r>
          </w:p>
        </w:tc>
        <w:tc>
          <w:tcPr>
            <w:tcW w:w="2180"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sz w:val="21"/>
                <w:szCs w:val="21"/>
              </w:rPr>
              <w:t>18963623200</w:t>
            </w:r>
          </w:p>
        </w:tc>
        <w:tc>
          <w:tcPr>
            <w:tcW w:w="1242" w:type="dxa"/>
            <w:vAlign w:val="center"/>
          </w:tcPr>
          <w:p>
            <w:r>
              <w:rPr>
                <w:rFonts w:hint="eastAsia"/>
              </w:rPr>
              <w:t>传真</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ascii="宋体"/>
                <w:bCs/>
                <w:color w:val="000000"/>
                <w:szCs w:val="21"/>
              </w:rPr>
            </w:pPr>
            <w:r>
              <w:rPr>
                <w:sz w:val="21"/>
                <w:szCs w:val="21"/>
              </w:rPr>
              <w:t>张西然</w:t>
            </w:r>
          </w:p>
        </w:tc>
        <w:tc>
          <w:tcPr>
            <w:tcW w:w="1313" w:type="dxa"/>
            <w:vAlign w:val="center"/>
          </w:tcPr>
          <w:p>
            <w:pPr>
              <w:jc w:val="center"/>
              <w:rPr>
                <w:rFonts w:ascii="宋体"/>
                <w:bCs/>
                <w:color w:val="000000"/>
                <w:szCs w:val="21"/>
              </w:rPr>
            </w:pPr>
            <w:r>
              <w:rPr>
                <w:rFonts w:hint="eastAsia" w:ascii="宋体" w:hAnsi="宋体"/>
                <w:bCs/>
                <w:color w:val="000000"/>
                <w:szCs w:val="21"/>
              </w:rPr>
              <w:t>管理者代表</w:t>
            </w:r>
          </w:p>
        </w:tc>
        <w:tc>
          <w:tcPr>
            <w:tcW w:w="2180" w:type="dxa"/>
          </w:tcPr>
          <w:p>
            <w:pPr>
              <w:ind w:firstLine="210" w:firstLineChars="100"/>
              <w:rPr>
                <w:rFonts w:hint="eastAsia" w:ascii="宋体" w:eastAsia="宋体"/>
                <w:bCs/>
                <w:color w:val="000000"/>
                <w:szCs w:val="21"/>
                <w:lang w:eastAsia="zh-CN"/>
              </w:rPr>
            </w:pPr>
            <w:r>
              <w:rPr>
                <w:rFonts w:hint="eastAsia" w:ascii="宋体"/>
                <w:bCs/>
                <w:color w:val="000000"/>
                <w:szCs w:val="21"/>
                <w:lang w:val="en-US" w:eastAsia="zh-CN"/>
              </w:rPr>
              <w:t>王小静</w:t>
            </w:r>
          </w:p>
        </w:tc>
        <w:tc>
          <w:tcPr>
            <w:tcW w:w="1242" w:type="dxa"/>
          </w:tcPr>
          <w:p>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r>
              <w:rPr>
                <w:sz w:val="21"/>
                <w:szCs w:val="21"/>
              </w:rPr>
              <w:t>609700510@qq.com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color w:val="000000"/>
                <w:sz w:val="20"/>
              </w:rPr>
            </w:pPr>
            <w:r>
              <w:rPr>
                <w:rFonts w:hint="eastAsia" w:ascii="宋体" w:hAnsi="宋体"/>
                <w:b/>
                <w:bCs/>
                <w:color w:val="000000"/>
                <w:sz w:val="20"/>
              </w:rPr>
              <w:t>红案：</w:t>
            </w:r>
          </w:p>
          <w:p>
            <w:pPr>
              <w:snapToGrid w:val="0"/>
              <w:spacing w:line="280" w:lineRule="exact"/>
              <w:jc w:val="left"/>
              <w:rPr>
                <w:rFonts w:ascii="宋体" w:hAnsi="宋体"/>
                <w:color w:val="000000"/>
                <w:sz w:val="20"/>
              </w:rPr>
            </w:pPr>
            <w:r>
              <w:rPr>
                <w:rFonts w:hint="eastAsia" w:ascii="宋体" w:hAnsi="宋体"/>
                <w:color w:val="000000"/>
                <w:sz w:val="20"/>
              </w:rPr>
              <w:t>原料验收——择菜——洗菜——切菜——烹饪（炒、煮）——装盘——上桌——服务</w:t>
            </w:r>
          </w:p>
          <w:p>
            <w:pPr>
              <w:snapToGrid w:val="0"/>
              <w:spacing w:line="280" w:lineRule="exact"/>
              <w:jc w:val="left"/>
              <w:rPr>
                <w:rFonts w:ascii="宋体" w:hAnsi="宋体"/>
                <w:b/>
                <w:bCs/>
                <w:color w:val="000000"/>
                <w:sz w:val="20"/>
              </w:rPr>
            </w:pPr>
            <w:r>
              <w:rPr>
                <w:rFonts w:hint="eastAsia" w:ascii="宋体" w:hAnsi="宋体"/>
                <w:b/>
                <w:bCs/>
                <w:color w:val="000000"/>
                <w:sz w:val="20"/>
              </w:rPr>
              <w:t>白案：</w:t>
            </w:r>
          </w:p>
          <w:p>
            <w:pPr>
              <w:snapToGrid w:val="0"/>
              <w:spacing w:line="280" w:lineRule="exact"/>
              <w:jc w:val="left"/>
              <w:rPr>
                <w:rFonts w:ascii="宋体" w:hAnsi="宋体"/>
                <w:color w:val="000000"/>
                <w:sz w:val="20"/>
              </w:rPr>
            </w:pPr>
            <w:r>
              <w:rPr>
                <w:rFonts w:hint="eastAsia" w:ascii="宋体" w:hAnsi="宋体"/>
                <w:color w:val="000000"/>
                <w:sz w:val="20"/>
              </w:rPr>
              <w:t>原料验收——清洗（大米）——蒸煮——盛碗——上桌</w:t>
            </w:r>
          </w:p>
          <w:p>
            <w:pPr>
              <w:snapToGrid w:val="0"/>
              <w:spacing w:line="280" w:lineRule="exact"/>
              <w:jc w:val="left"/>
              <w:rPr>
                <w:rFonts w:ascii="宋体" w:hAnsi="宋体"/>
                <w:b/>
                <w:bCs/>
                <w:color w:val="000000"/>
                <w:sz w:val="20"/>
              </w:rPr>
            </w:pPr>
            <w:r>
              <w:rPr>
                <w:rFonts w:hint="eastAsia" w:ascii="宋体" w:hAnsi="宋体"/>
                <w:b/>
                <w:bCs/>
                <w:color w:val="000000"/>
                <w:sz w:val="20"/>
              </w:rPr>
              <w:t>服务：</w:t>
            </w:r>
          </w:p>
          <w:p>
            <w:pPr>
              <w:snapToGrid w:val="0"/>
              <w:spacing w:line="280" w:lineRule="exact"/>
              <w:jc w:val="left"/>
              <w:rPr>
                <w:rFonts w:ascii="宋体" w:hAnsi="宋体"/>
                <w:color w:val="000000"/>
                <w:sz w:val="20"/>
              </w:rPr>
            </w:pPr>
            <w:r>
              <w:rPr>
                <w:rFonts w:hint="eastAsia" w:ascii="宋体" w:hAnsi="宋体"/>
                <w:color w:val="000000"/>
                <w:sz w:val="20"/>
              </w:rPr>
              <w:t>客人点菜——确认品种和偏好——传菜——上菜——介绍菜品——服务（倒酒、盛汤等）——收款——致谢</w:t>
            </w:r>
          </w:p>
          <w:p>
            <w:pPr>
              <w:snapToGrid w:val="0"/>
              <w:spacing w:line="280" w:lineRule="exact"/>
              <w:jc w:val="left"/>
              <w:rPr>
                <w:rFonts w:ascii="宋体" w:hAnsi="宋体"/>
                <w:b/>
                <w:bCs/>
                <w:color w:val="000000"/>
                <w:sz w:val="20"/>
              </w:rPr>
            </w:pPr>
            <w:r>
              <w:rPr>
                <w:rFonts w:hint="eastAsia" w:ascii="宋体" w:hAnsi="宋体"/>
                <w:b/>
                <w:bCs/>
                <w:color w:val="000000"/>
                <w:sz w:val="20"/>
              </w:rPr>
              <w:t>餐具清洗消毒：</w:t>
            </w:r>
          </w:p>
          <w:p>
            <w:pPr>
              <w:snapToGrid w:val="0"/>
              <w:spacing w:line="280" w:lineRule="exact"/>
              <w:jc w:val="left"/>
              <w:rPr>
                <w:rFonts w:ascii="宋体"/>
                <w:color w:val="000000"/>
                <w:szCs w:val="21"/>
              </w:rPr>
            </w:pPr>
            <w:r>
              <w:rPr>
                <w:rFonts w:hint="eastAsia" w:ascii="宋体" w:hAnsi="宋体"/>
                <w:color w:val="000000"/>
                <w:sz w:val="20"/>
              </w:rPr>
              <w:t>餐具——回收——清洗——消毒——备用</w:t>
            </w:r>
          </w:p>
        </w:tc>
      </w:tr>
    </w:tbl>
    <w:p/>
    <w:p>
      <w:r>
        <w:rPr>
          <w:rFonts w:hint="eastAsia"/>
        </w:rPr>
        <w:t>二、本次审核信息</w:t>
      </w:r>
    </w:p>
    <w:tbl>
      <w:tblPr>
        <w:tblStyle w:val="3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0" w:name="auDate"/>
            <w:bookmarkEnd w:id="0"/>
            <w:r>
              <w:rPr>
                <w:rFonts w:hint="eastAsia"/>
              </w:rPr>
              <w:t xml:space="preserve">   2020 年 </w:t>
            </w:r>
            <w:r>
              <w:t>1</w:t>
            </w:r>
            <w:r>
              <w:rPr>
                <w:rFonts w:hint="eastAsia"/>
                <w:lang w:val="en-US" w:eastAsia="zh-CN"/>
              </w:rPr>
              <w:t>1</w:t>
            </w:r>
            <w:r>
              <w:rPr>
                <w:rFonts w:hint="eastAsia"/>
              </w:rPr>
              <w:t xml:space="preserve"> 月 </w:t>
            </w:r>
            <w:r>
              <w:rPr>
                <w:rFonts w:hint="eastAsia"/>
                <w:lang w:val="en-US" w:eastAsia="zh-CN"/>
              </w:rPr>
              <w:t>28</w:t>
            </w:r>
            <w:r>
              <w:rPr>
                <w:rFonts w:hint="eastAsia"/>
              </w:rPr>
              <w:t xml:space="preserve"> 日</w:t>
            </w:r>
            <w:r>
              <w:rPr>
                <w:rFonts w:hint="eastAsia"/>
                <w:lang w:val="en-US" w:eastAsia="zh-CN"/>
              </w:rPr>
              <w:t>13：00</w:t>
            </w:r>
            <w:r>
              <w:rPr>
                <w:rFonts w:hint="eastAsia"/>
              </w:rPr>
              <w:t xml:space="preserve"> 至  2020  年 </w:t>
            </w:r>
            <w:r>
              <w:t>1</w:t>
            </w:r>
            <w:r>
              <w:rPr>
                <w:rFonts w:hint="eastAsia"/>
                <w:lang w:val="en-US" w:eastAsia="zh-CN"/>
              </w:rPr>
              <w:t>1</w:t>
            </w:r>
            <w:r>
              <w:rPr>
                <w:rFonts w:hint="eastAsia"/>
              </w:rPr>
              <w:t xml:space="preserve"> 月 </w:t>
            </w:r>
            <w:r>
              <w:rPr>
                <w:rFonts w:hint="eastAsia"/>
                <w:lang w:val="en-US" w:eastAsia="zh-CN"/>
              </w:rPr>
              <w:t>30</w:t>
            </w:r>
            <w:r>
              <w:rPr>
                <w:rFonts w:hint="eastAsia"/>
              </w:rPr>
              <w:t>日</w:t>
            </w:r>
            <w:r>
              <w:rPr>
                <w:rFonts w:hint="eastAsia"/>
                <w:lang w:val="en-US" w:eastAsia="zh-CN"/>
              </w:rPr>
              <w:t>12</w:t>
            </w:r>
            <w:r>
              <w:rPr>
                <w:rFonts w:hint="eastAsia"/>
              </w:rPr>
              <w:t>：</w:t>
            </w:r>
            <w:r>
              <w:rPr>
                <w:rFonts w:hint="eastAsia"/>
                <w:lang w:val="en-US" w:eastAsia="zh-CN"/>
              </w:rP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r>
              <w:rPr>
                <w:rFonts w:hint="eastAsia"/>
              </w:rPr>
              <w:t xml:space="preserve">FSMS： </w:t>
            </w:r>
            <w:r>
              <w:rPr>
                <w:rFonts w:ascii="Segoe UI Emoji" w:hAnsi="Segoe UI Emoji" w:cs="Segoe UI Emoji"/>
              </w:rPr>
              <w:t>☑</w:t>
            </w:r>
            <w:r>
              <w:rPr>
                <w:rFonts w:hint="eastAsia"/>
              </w:rPr>
              <w:t xml:space="preserve"> ISO22000:20</w:t>
            </w:r>
            <w:r>
              <w:t>18</w:t>
            </w:r>
            <w:r>
              <w:rPr>
                <w:rFonts w:hint="eastAsia"/>
              </w:rPr>
              <w:t xml:space="preserve">&amp;专项技术规范：GB/T 27306-2008《食品安全管理体系 餐饮业要求》                  </w:t>
            </w:r>
          </w:p>
          <w:p>
            <w:r>
              <w:rPr>
                <w:rFonts w:hint="eastAsia"/>
              </w:rPr>
              <w:t>HACCP：</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hint="eastAsia" w:ascii="宋体" w:hAnsi="宋体" w:cs="宋体"/>
              </w:rPr>
              <w:t>《危害分析与关键控制点（</w:t>
            </w:r>
            <w:r>
              <w:rPr>
                <w:rFonts w:hint="eastAsia"/>
              </w:rPr>
              <w:t>HACCP体系）认证补充要求 1.0》</w:t>
            </w:r>
          </w:p>
          <w:p>
            <w:r>
              <w:rPr>
                <w:rFonts w:ascii="Segoe UI Emoji" w:hAnsi="Segoe UI Emoji" w:cs="Segoe UI Emoji"/>
              </w:rPr>
              <w:t>☑</w:t>
            </w:r>
            <w:r>
              <w:rPr>
                <w:rFonts w:hint="eastAsia" w:ascii="宋体" w:hAnsi="宋体" w:cs="宋体"/>
              </w:rPr>
              <w:t>受审核方</w:t>
            </w:r>
            <w:r>
              <w:rPr>
                <w:rFonts w:hint="eastAsia"/>
              </w:rPr>
              <w:t xml:space="preserve">管理体系成文信息               </w:t>
            </w:r>
            <w:r>
              <w:rPr>
                <w:rFonts w:ascii="Segoe UI Emoji" w:hAnsi="Segoe UI Emoji" w:cs="Segoe UI Emoji"/>
              </w:rPr>
              <w:t>☑</w:t>
            </w:r>
            <w:r>
              <w:rPr>
                <w:rFonts w:hint="eastAsia"/>
              </w:rPr>
              <w:t>顾客要求</w:t>
            </w:r>
          </w:p>
          <w:p>
            <w:pPr>
              <w:jc w:val="left"/>
              <w:rPr>
                <w:rFonts w:hint="eastAsia"/>
              </w:rPr>
            </w:pPr>
            <w:r>
              <w:rPr>
                <w:rFonts w:ascii="Segoe UI Emoji" w:hAnsi="Segoe UI Emoji" w:cs="Segoe UI Emoji"/>
              </w:rPr>
              <w:t>☑</w:t>
            </w:r>
            <w:r>
              <w:rPr>
                <w:rFonts w:hint="eastAsia" w:ascii="宋体" w:hAnsi="宋体" w:cs="宋体"/>
              </w:rPr>
              <w:t>适用于受审核方的法律法规及其他要求</w:t>
            </w:r>
            <w:r>
              <w:rPr>
                <w:rFonts w:hint="eastAsia"/>
              </w:rPr>
              <w:t xml:space="preserve">     </w:t>
            </w:r>
            <w:r>
              <w:rPr>
                <w:rFonts w:ascii="Segoe UI Emoji" w:hAnsi="Segoe UI Emoji" w:cs="Segoe UI Emoji"/>
              </w:rPr>
              <w:t>☑</w:t>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r>
              <w:rPr>
                <w:rFonts w:hint="eastAsia"/>
                <w:sz w:val="21"/>
                <w:szCs w:val="21"/>
                <w:lang w:val="en-US" w:eastAsia="zh-CN"/>
              </w:rPr>
              <w:t>位于江苏省南京市溧水区石湫街道雨山路1号石湫街道办事处</w:t>
            </w:r>
            <w:r>
              <w:rPr>
                <w:sz w:val="21"/>
                <w:szCs w:val="21"/>
              </w:rPr>
              <w:t>内的食堂的餐饮管理服务（热食类食品制售）</w:t>
            </w:r>
            <w:r>
              <w:rPr>
                <w:rFonts w:hint="eastAsia" w:ascii="宋体" w:hAnsi="宋体"/>
                <w:color w:val="000000"/>
              </w:rPr>
              <w:t>；</w:t>
            </w:r>
          </w:p>
        </w:tc>
        <w:tc>
          <w:tcPr>
            <w:tcW w:w="2685" w:type="dxa"/>
            <w:gridSpan w:val="2"/>
            <w:vAlign w:val="center"/>
          </w:tcPr>
          <w:p>
            <w:r>
              <w:rPr>
                <w:rFonts w:hint="eastAsia"/>
              </w:rPr>
              <w:t>F</w:t>
            </w:r>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r>
              <w:rPr>
                <w:rFonts w:hint="eastAsia"/>
                <w:sz w:val="21"/>
                <w:szCs w:val="21"/>
                <w:lang w:val="en-US" w:eastAsia="zh-CN"/>
              </w:rPr>
              <w:t>位于江苏省南京市溧水区石湫街道雨山路1号石湫街道办事处</w:t>
            </w:r>
            <w:r>
              <w:rPr>
                <w:sz w:val="21"/>
                <w:szCs w:val="21"/>
              </w:rPr>
              <w:t>内的食堂的餐饮管理服务（热食类食品制售）</w:t>
            </w:r>
            <w:r>
              <w:rPr>
                <w:rFonts w:hint="eastAsia" w:ascii="宋体" w:hAnsi="宋体"/>
                <w:color w:val="000000"/>
              </w:rPr>
              <w:t>；</w:t>
            </w:r>
          </w:p>
        </w:tc>
        <w:tc>
          <w:tcPr>
            <w:tcW w:w="2685" w:type="dxa"/>
            <w:gridSpan w:val="2"/>
            <w:vAlign w:val="center"/>
          </w:tcPr>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rPr>
                <w:rFonts w:hint="eastAsia"/>
                <w:lang w:val="en-US" w:eastAsia="zh-CN"/>
              </w:rPr>
              <w:t>20</w:t>
            </w:r>
            <w:r>
              <w:rPr>
                <w:rFonts w:hint="eastAsia"/>
              </w:rPr>
              <w:t>年</w:t>
            </w:r>
            <w:r>
              <w:rPr>
                <w:rFonts w:hint="eastAsia"/>
                <w:lang w:val="en-US" w:eastAsia="zh-CN"/>
              </w:rPr>
              <w:t>6</w:t>
            </w:r>
            <w:r>
              <w:rPr>
                <w:rFonts w:hint="eastAsia"/>
              </w:rPr>
              <w:t xml:space="preserve"> 月 1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2020年</w:t>
            </w:r>
            <w:r>
              <w:rPr>
                <w:rFonts w:hint="eastAsia"/>
                <w:lang w:val="en-US" w:eastAsia="zh-CN"/>
              </w:rPr>
              <w:t>11</w:t>
            </w:r>
            <w:r>
              <w:rPr>
                <w:rFonts w:hint="eastAsia"/>
              </w:rPr>
              <w:t>月</w:t>
            </w:r>
            <w:r>
              <w:rPr>
                <w:rFonts w:hint="eastAsia"/>
                <w:lang w:val="en-US" w:eastAsia="zh-CN"/>
              </w:rPr>
              <w:t>27</w:t>
            </w:r>
            <w:r>
              <w:rPr>
                <w:rFonts w:hint="eastAsia"/>
              </w:rPr>
              <w:t>日</w:t>
            </w:r>
            <w:r>
              <w:rPr>
                <w:rFonts w:hint="eastAsia"/>
                <w:lang w:eastAsia="zh-CN"/>
              </w:rPr>
              <w:t>（</w:t>
            </w:r>
            <w:r>
              <w:rPr>
                <w:rFonts w:hint="eastAsia"/>
                <w:lang w:val="en-US" w:eastAsia="zh-CN"/>
              </w:rPr>
              <w:t>初审一阶段</w:t>
            </w:r>
            <w:r>
              <w:rPr>
                <w:rFonts w:hint="eastAsia"/>
                <w:lang w:eastAsia="zh-CN"/>
              </w:rPr>
              <w:t>）</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30"/>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Theme="minorEastAsia"/>
                <w:szCs w:val="21"/>
              </w:rPr>
            </w:pPr>
            <w:r>
              <w:rPr>
                <w:rFonts w:hint="eastAsia" w:eastAsiaTheme="minorEastAsia"/>
                <w:szCs w:val="21"/>
              </w:rPr>
              <w:t>01</w:t>
            </w:r>
          </w:p>
          <w:p>
            <w:pPr>
              <w:spacing w:before="40" w:after="40"/>
              <w:rPr>
                <w:rFonts w:eastAsia="MS Mincho"/>
                <w:szCs w:val="21"/>
                <w:lang w:eastAsia="ja-JP"/>
              </w:rPr>
            </w:pPr>
          </w:p>
          <w:p>
            <w:pPr>
              <w:spacing w:before="40" w:after="40"/>
              <w:rPr>
                <w:rFonts w:eastAsia="MS Mincho"/>
                <w:szCs w:val="21"/>
                <w:lang w:eastAsia="ja-JP"/>
              </w:rPr>
            </w:pPr>
          </w:p>
        </w:tc>
        <w:tc>
          <w:tcPr>
            <w:tcW w:w="2267" w:type="dxa"/>
          </w:tcPr>
          <w:p>
            <w:pPr>
              <w:spacing w:before="40" w:after="40"/>
              <w:rPr>
                <w:bCs/>
                <w:color w:val="000000"/>
                <w:szCs w:val="21"/>
                <w:lang w:val="de-DE" w:eastAsia="ja-JP"/>
              </w:rPr>
            </w:pPr>
            <w:r>
              <w:rPr>
                <w:rFonts w:hint="eastAsia"/>
                <w:sz w:val="21"/>
                <w:szCs w:val="21"/>
                <w:lang w:val="en-US" w:eastAsia="zh-CN"/>
              </w:rPr>
              <w:t>南京佐景电子商务有限公司南京市溧水区石湫街道影视大道9号</w:t>
            </w:r>
          </w:p>
        </w:tc>
        <w:tc>
          <w:tcPr>
            <w:tcW w:w="1481" w:type="dxa"/>
          </w:tcPr>
          <w:p>
            <w:pPr>
              <w:rPr>
                <w:rFonts w:eastAsia="黑体"/>
                <w:szCs w:val="21"/>
                <w:lang w:val="de-DE" w:eastAsia="ja-JP"/>
              </w:rPr>
            </w:pPr>
            <w:r>
              <w:rPr>
                <w:rFonts w:hint="eastAsia"/>
                <w:sz w:val="21"/>
                <w:szCs w:val="21"/>
                <w:lang w:val="en-US" w:eastAsia="zh-CN"/>
              </w:rPr>
              <w:t>江苏省南京市溧水区石湫街道雨山路1号石湫街道办事处</w:t>
            </w:r>
          </w:p>
        </w:tc>
        <w:tc>
          <w:tcPr>
            <w:tcW w:w="708" w:type="dxa"/>
            <w:vAlign w:val="center"/>
          </w:tcPr>
          <w:p>
            <w:pPr>
              <w:spacing w:before="40" w:after="40"/>
              <w:rPr>
                <w:rFonts w:eastAsia="黑体"/>
                <w:szCs w:val="21"/>
              </w:rPr>
            </w:pPr>
            <w:r>
              <w:rPr>
                <w:rFonts w:hint="eastAsia" w:ascii="宋体" w:hAnsi="宋体"/>
                <w:szCs w:val="21"/>
              </w:rPr>
              <w:t>1</w:t>
            </w:r>
            <w:r>
              <w:rPr>
                <w:rFonts w:ascii="宋体" w:hAnsi="宋体"/>
                <w:szCs w:val="21"/>
              </w:rPr>
              <w:t>5</w:t>
            </w:r>
          </w:p>
        </w:tc>
        <w:tc>
          <w:tcPr>
            <w:tcW w:w="2268" w:type="dxa"/>
            <w:vAlign w:val="center"/>
          </w:tcPr>
          <w:p>
            <w:pPr>
              <w:pStyle w:val="43"/>
              <w:rPr>
                <w:sz w:val="21"/>
                <w:szCs w:val="21"/>
              </w:rPr>
            </w:pPr>
            <w:r>
              <w:rPr>
                <w:rFonts w:hint="eastAsia"/>
                <w:sz w:val="21"/>
                <w:szCs w:val="21"/>
                <w:lang w:val="en-US" w:eastAsia="zh-CN"/>
              </w:rPr>
              <w:t>F:位于江苏省南京市溧水区石湫街道雨山路1号石湫街道办事处</w:t>
            </w:r>
            <w:r>
              <w:rPr>
                <w:sz w:val="21"/>
                <w:szCs w:val="21"/>
              </w:rPr>
              <w:t>内的食堂的餐饮管理服务（热食类食品制售）</w:t>
            </w:r>
          </w:p>
          <w:p>
            <w:pPr>
              <w:pStyle w:val="43"/>
              <w:rPr>
                <w:rFonts w:hint="default" w:eastAsia="宋体"/>
                <w:sz w:val="21"/>
                <w:szCs w:val="21"/>
                <w:lang w:val="en-US" w:eastAsia="zh-CN"/>
              </w:rPr>
            </w:pPr>
            <w:r>
              <w:rPr>
                <w:rFonts w:hint="eastAsia" w:eastAsia="宋体"/>
                <w:sz w:val="21"/>
                <w:szCs w:val="21"/>
                <w:lang w:val="en-US" w:eastAsia="zh-CN"/>
              </w:rPr>
              <w:t>H:</w:t>
            </w: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c>
          <w:tcPr>
            <w:tcW w:w="1418" w:type="dxa"/>
            <w:vAlign w:val="center"/>
          </w:tcPr>
          <w:p>
            <w:pPr>
              <w:spacing w:before="40" w:after="40"/>
              <w:rPr>
                <w:rFonts w:eastAsia="黑体"/>
                <w:szCs w:val="21"/>
              </w:rPr>
            </w:pPr>
            <w:r>
              <w:rPr>
                <w:rFonts w:hint="eastAsia" w:ascii="宋体" w:hAnsi="宋体"/>
                <w:szCs w:val="21"/>
                <w:lang w:val="de-DE"/>
              </w:rPr>
              <w:t>见审核准则</w:t>
            </w: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3"/>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3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22"/>
        <w:gridCol w:w="1134"/>
        <w:gridCol w:w="311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97" w:type="dxa"/>
            <w:gridSpan w:val="5"/>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39"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组内身份</w:t>
            </w:r>
          </w:p>
        </w:tc>
        <w:tc>
          <w:tcPr>
            <w:tcW w:w="1134"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审核员注册证书号</w:t>
            </w:r>
          </w:p>
        </w:tc>
        <w:tc>
          <w:tcPr>
            <w:tcW w:w="1583"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39"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肖新龙</w:t>
            </w:r>
          </w:p>
        </w:tc>
        <w:tc>
          <w:tcPr>
            <w:tcW w:w="2722" w:type="dxa"/>
            <w:vAlign w:val="center"/>
          </w:tcPr>
          <w:p>
            <w:pPr>
              <w:jc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rPr>
              <w:t>审核组长</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被张静见证H</w:t>
            </w:r>
            <w:r>
              <w:rPr>
                <w:rFonts w:hint="default" w:ascii="Times New Roman" w:hAnsi="Times New Roman" w:cs="Times New Roman"/>
                <w:b w:val="0"/>
                <w:bCs w:val="0"/>
                <w:sz w:val="18"/>
                <w:szCs w:val="18"/>
                <w:lang w:eastAsia="zh-CN"/>
              </w:rPr>
              <w:t>）</w:t>
            </w:r>
          </w:p>
        </w:tc>
        <w:tc>
          <w:tcPr>
            <w:tcW w:w="1134"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color w:val="000000"/>
                <w:sz w:val="18"/>
                <w:szCs w:val="18"/>
              </w:rPr>
              <w:t>女</w:t>
            </w:r>
          </w:p>
        </w:tc>
        <w:tc>
          <w:tcPr>
            <w:tcW w:w="3119" w:type="dxa"/>
            <w:vAlign w:val="center"/>
          </w:tcPr>
          <w:p>
            <w:pPr>
              <w:numPr>
                <w:ilvl w:val="0"/>
                <w:numId w:val="0"/>
              </w:numPr>
              <w:spacing w:line="240" w:lineRule="exact"/>
              <w:jc w:val="center"/>
              <w:rPr>
                <w:rFonts w:hint="default" w:ascii="Times New Roman" w:hAnsi="Times New Roman" w:eastAsia="微软雅黑" w:cs="Times New Roman"/>
                <w:b w:val="0"/>
                <w:bCs w:val="0"/>
                <w:color w:val="000000"/>
                <w:sz w:val="18"/>
                <w:szCs w:val="18"/>
                <w:lang w:val="en-US" w:eastAsia="zh-CN"/>
              </w:rPr>
            </w:pPr>
            <w:r>
              <w:rPr>
                <w:rFonts w:hint="default" w:ascii="Times New Roman" w:hAnsi="Times New Roman" w:cs="Times New Roman"/>
                <w:b w:val="0"/>
                <w:bCs w:val="0"/>
                <w:sz w:val="18"/>
                <w:szCs w:val="18"/>
                <w:lang w:val="en-US" w:eastAsia="zh-CN"/>
              </w:rPr>
              <w:t>2020-</w:t>
            </w:r>
            <w:r>
              <w:rPr>
                <w:rFonts w:hint="default" w:ascii="Times New Roman" w:hAnsi="Times New Roman" w:eastAsia="微软雅黑" w:cs="Times New Roman"/>
                <w:b w:val="0"/>
                <w:bCs w:val="0"/>
                <w:color w:val="000000"/>
                <w:sz w:val="18"/>
                <w:szCs w:val="18"/>
              </w:rPr>
              <w:t>N1FSMS-1232380</w:t>
            </w:r>
          </w:p>
          <w:p>
            <w:pPr>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微软雅黑" w:cs="Times New Roman"/>
                <w:b w:val="0"/>
                <w:bCs w:val="0"/>
                <w:color w:val="000000"/>
                <w:sz w:val="18"/>
                <w:szCs w:val="18"/>
                <w:lang w:val="en-US" w:eastAsia="zh-CN"/>
              </w:rPr>
              <w:t>2020-N1HACCP-1232380</w:t>
            </w:r>
          </w:p>
        </w:tc>
        <w:tc>
          <w:tcPr>
            <w:tcW w:w="1583" w:type="dxa"/>
            <w:vAlign w:val="center"/>
          </w:tcPr>
          <w:p>
            <w:pPr>
              <w:jc w:val="cente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39" w:type="dxa"/>
            <w:vAlign w:val="center"/>
          </w:tcPr>
          <w:p>
            <w:pPr>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18"/>
                <w:szCs w:val="18"/>
              </w:rPr>
              <w:t>张静</w:t>
            </w:r>
          </w:p>
        </w:tc>
        <w:tc>
          <w:tcPr>
            <w:tcW w:w="2722" w:type="dxa"/>
            <w:vAlign w:val="center"/>
          </w:tcPr>
          <w:p>
            <w:pPr>
              <w:jc w:val="center"/>
              <w:rPr>
                <w:rFonts w:hint="default" w:ascii="Times New Roman" w:hAnsi="Times New Roman" w:eastAsia="宋体"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审核员（见证肖新龙H，见证陈丽丹F）</w:t>
            </w:r>
          </w:p>
        </w:tc>
        <w:tc>
          <w:tcPr>
            <w:tcW w:w="1134" w:type="dxa"/>
            <w:vAlign w:val="center"/>
          </w:tcPr>
          <w:p>
            <w:pPr>
              <w:jc w:val="center"/>
              <w:rPr>
                <w:rFonts w:hint="default" w:ascii="Times New Roman" w:hAnsi="Times New Roman" w:eastAsia="宋体"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女</w:t>
            </w:r>
          </w:p>
        </w:tc>
        <w:tc>
          <w:tcPr>
            <w:tcW w:w="3119" w:type="dxa"/>
            <w:vAlign w:val="center"/>
          </w:tcPr>
          <w:p>
            <w:pPr>
              <w:spacing w:line="240" w:lineRule="exact"/>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2017-N1FSMS-2011923</w:t>
            </w:r>
          </w:p>
          <w:p>
            <w:pPr>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2018-N1HACCP-1011923</w:t>
            </w:r>
          </w:p>
        </w:tc>
        <w:tc>
          <w:tcPr>
            <w:tcW w:w="1583" w:type="dxa"/>
            <w:vAlign w:val="center"/>
          </w:tcPr>
          <w:p>
            <w:pPr>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F：E</w:t>
            </w:r>
          </w:p>
          <w:p>
            <w:pPr>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39" w:type="dxa"/>
            <w:vAlign w:val="center"/>
          </w:tcPr>
          <w:p>
            <w:pPr>
              <w:spacing w:line="240" w:lineRule="exact"/>
              <w:jc w:val="center"/>
              <w:rPr>
                <w:rFonts w:hint="default" w:ascii="Times New Roman" w:hAnsi="Times New Roman" w:eastAsia="宋体" w:cs="Times New Roman"/>
                <w:b w:val="0"/>
                <w:bCs w:val="0"/>
                <w:color w:val="000000"/>
                <w:sz w:val="18"/>
                <w:szCs w:val="18"/>
                <w:lang w:eastAsia="zh-CN"/>
              </w:rPr>
            </w:pPr>
            <w:r>
              <w:rPr>
                <w:rFonts w:hint="default" w:ascii="Times New Roman" w:hAnsi="Times New Roman" w:cs="Times New Roman"/>
                <w:b w:val="0"/>
                <w:bCs w:val="0"/>
                <w:sz w:val="18"/>
                <w:szCs w:val="18"/>
                <w:lang w:val="en-US" w:eastAsia="zh-CN"/>
              </w:rPr>
              <w:t>陈丽丹</w:t>
            </w:r>
          </w:p>
        </w:tc>
        <w:tc>
          <w:tcPr>
            <w:tcW w:w="2722" w:type="dxa"/>
            <w:vAlign w:val="center"/>
          </w:tcPr>
          <w:p>
            <w:pPr>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18"/>
                <w:szCs w:val="18"/>
              </w:rPr>
              <w:t>审核</w:t>
            </w:r>
            <w:r>
              <w:rPr>
                <w:rFonts w:hint="default" w:ascii="Times New Roman" w:hAnsi="Times New Roman" w:cs="Times New Roman"/>
                <w:b w:val="0"/>
                <w:bCs w:val="0"/>
                <w:sz w:val="18"/>
                <w:szCs w:val="18"/>
                <w:lang w:val="en-US" w:eastAsia="zh-CN"/>
              </w:rPr>
              <w:t>员（H实习/F实习）（被张静见证F）</w:t>
            </w:r>
          </w:p>
        </w:tc>
        <w:tc>
          <w:tcPr>
            <w:tcW w:w="1134" w:type="dxa"/>
            <w:vAlign w:val="center"/>
          </w:tcPr>
          <w:p>
            <w:pPr>
              <w:ind w:firstLine="270" w:firstLineChars="150"/>
              <w:jc w:val="both"/>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男</w:t>
            </w:r>
          </w:p>
        </w:tc>
        <w:tc>
          <w:tcPr>
            <w:tcW w:w="3119" w:type="dxa"/>
            <w:vAlign w:val="center"/>
          </w:tcPr>
          <w:p>
            <w:pPr>
              <w:numPr>
                <w:ilvl w:val="0"/>
                <w:numId w:val="7"/>
              </w:numPr>
              <w:spacing w:line="24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N0FSMS-1246137</w:t>
            </w:r>
          </w:p>
          <w:p>
            <w:pPr>
              <w:jc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18"/>
                <w:szCs w:val="18"/>
                <w:lang w:val="en-US" w:eastAsia="zh-CN"/>
              </w:rPr>
              <w:t>考试合格</w:t>
            </w:r>
          </w:p>
        </w:tc>
        <w:tc>
          <w:tcPr>
            <w:tcW w:w="1583" w:type="dxa"/>
            <w:vAlign w:val="center"/>
          </w:tcPr>
          <w:p>
            <w:pPr>
              <w:spacing w:line="240" w:lineRule="exact"/>
              <w:jc w:val="cente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39" w:type="dxa"/>
            <w:vAlign w:val="center"/>
          </w:tcPr>
          <w:p>
            <w:pPr>
              <w:jc w:val="center"/>
              <w:rPr>
                <w:rFonts w:hint="default" w:ascii="Times New Roman" w:hAnsi="Times New Roman" w:cs="Times New Roman"/>
                <w:b w:val="0"/>
                <w:bCs w:val="0"/>
                <w:color w:val="000000"/>
                <w:sz w:val="18"/>
                <w:szCs w:val="18"/>
              </w:rPr>
            </w:pPr>
          </w:p>
        </w:tc>
        <w:tc>
          <w:tcPr>
            <w:tcW w:w="2722" w:type="dxa"/>
            <w:vAlign w:val="center"/>
          </w:tcPr>
          <w:p>
            <w:pPr>
              <w:jc w:val="center"/>
              <w:rPr>
                <w:rFonts w:hint="default" w:ascii="Times New Roman" w:hAnsi="Times New Roman" w:cs="Times New Roman"/>
                <w:b w:val="0"/>
                <w:bCs w:val="0"/>
                <w:color w:val="000000"/>
                <w:sz w:val="18"/>
                <w:szCs w:val="18"/>
              </w:rPr>
            </w:pPr>
          </w:p>
        </w:tc>
        <w:tc>
          <w:tcPr>
            <w:tcW w:w="1134" w:type="dxa"/>
            <w:vAlign w:val="center"/>
          </w:tcPr>
          <w:p>
            <w:pPr>
              <w:jc w:val="center"/>
              <w:rPr>
                <w:rFonts w:hint="default" w:ascii="Times New Roman" w:hAnsi="Times New Roman" w:cs="Times New Roman"/>
                <w:b w:val="0"/>
                <w:bCs w:val="0"/>
                <w:color w:val="000000"/>
                <w:sz w:val="18"/>
                <w:szCs w:val="18"/>
              </w:rPr>
            </w:pPr>
          </w:p>
        </w:tc>
        <w:tc>
          <w:tcPr>
            <w:tcW w:w="3119" w:type="dxa"/>
            <w:vAlign w:val="center"/>
          </w:tcPr>
          <w:p>
            <w:pPr>
              <w:jc w:val="center"/>
              <w:rPr>
                <w:rFonts w:hint="default" w:ascii="Times New Roman" w:hAnsi="Times New Roman" w:cs="Times New Roman"/>
                <w:b w:val="0"/>
                <w:bCs w:val="0"/>
                <w:color w:val="000000"/>
                <w:sz w:val="18"/>
                <w:szCs w:val="18"/>
              </w:rPr>
            </w:pPr>
          </w:p>
        </w:tc>
        <w:tc>
          <w:tcPr>
            <w:tcW w:w="1583" w:type="dxa"/>
            <w:vAlign w:val="center"/>
          </w:tcPr>
          <w:p>
            <w:pPr>
              <w:jc w:val="center"/>
              <w:rPr>
                <w:rFonts w:hint="default" w:ascii="Times New Roman" w:hAnsi="Times New Roman" w:cs="Times New Roman"/>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39" w:type="dxa"/>
            <w:vAlign w:val="center"/>
          </w:tcPr>
          <w:p>
            <w:pPr>
              <w:jc w:val="center"/>
              <w:rPr>
                <w:rFonts w:hint="default" w:ascii="Times New Roman" w:hAnsi="Times New Roman" w:cs="Times New Roman"/>
                <w:b w:val="0"/>
                <w:bCs w:val="0"/>
                <w:sz w:val="18"/>
                <w:szCs w:val="18"/>
              </w:rPr>
            </w:pPr>
          </w:p>
        </w:tc>
        <w:tc>
          <w:tcPr>
            <w:tcW w:w="2722"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技术专家</w:t>
            </w:r>
          </w:p>
        </w:tc>
        <w:tc>
          <w:tcPr>
            <w:tcW w:w="1134" w:type="dxa"/>
            <w:vAlign w:val="center"/>
          </w:tcPr>
          <w:p>
            <w:pPr>
              <w:jc w:val="center"/>
              <w:rPr>
                <w:rFonts w:hint="default" w:ascii="Times New Roman" w:hAnsi="Times New Roman" w:cs="Times New Roman"/>
                <w:b w:val="0"/>
                <w:bCs w:val="0"/>
                <w:sz w:val="18"/>
                <w:szCs w:val="18"/>
              </w:rPr>
            </w:pPr>
          </w:p>
        </w:tc>
        <w:tc>
          <w:tcPr>
            <w:tcW w:w="3119" w:type="dxa"/>
            <w:vAlign w:val="center"/>
          </w:tcPr>
          <w:p>
            <w:pPr>
              <w:jc w:val="center"/>
              <w:rPr>
                <w:rFonts w:hint="default" w:ascii="Times New Roman" w:hAnsi="Times New Roman" w:cs="Times New Roman"/>
                <w:b w:val="0"/>
                <w:bCs w:val="0"/>
                <w:sz w:val="18"/>
                <w:szCs w:val="18"/>
              </w:rPr>
            </w:pPr>
          </w:p>
        </w:tc>
        <w:tc>
          <w:tcPr>
            <w:tcW w:w="1583" w:type="dxa"/>
            <w:vAlign w:val="center"/>
          </w:tcPr>
          <w:p>
            <w:pPr>
              <w:jc w:val="cente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97" w:type="dxa"/>
            <w:gridSpan w:val="5"/>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1583"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vAlign w:val="center"/>
          </w:tcPr>
          <w:p>
            <w:pPr>
              <w:rPr>
                <w:rFonts w:hint="default" w:ascii="Times New Roman" w:hAnsi="Times New Roman" w:cs="Times New Roman"/>
                <w:b w:val="0"/>
                <w:bCs w:val="0"/>
                <w:sz w:val="18"/>
                <w:szCs w:val="18"/>
              </w:rPr>
            </w:pPr>
          </w:p>
        </w:tc>
        <w:tc>
          <w:tcPr>
            <w:tcW w:w="3119" w:type="dxa"/>
            <w:vAlign w:val="center"/>
          </w:tcPr>
          <w:p>
            <w:pPr>
              <w:rPr>
                <w:rFonts w:hint="default" w:ascii="Times New Roman" w:hAnsi="Times New Roman" w:cs="Times New Roman"/>
                <w:b w:val="0"/>
                <w:bCs w:val="0"/>
                <w:sz w:val="18"/>
                <w:szCs w:val="18"/>
              </w:rPr>
            </w:pPr>
          </w:p>
        </w:tc>
        <w:tc>
          <w:tcPr>
            <w:tcW w:w="1583" w:type="dxa"/>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vAlign w:val="center"/>
          </w:tcPr>
          <w:p>
            <w:pPr>
              <w:rPr>
                <w:rFonts w:hint="default" w:ascii="Times New Roman" w:hAnsi="Times New Roman" w:cs="Times New Roman"/>
                <w:b w:val="0"/>
                <w:bCs w:val="0"/>
                <w:sz w:val="18"/>
                <w:szCs w:val="18"/>
              </w:rPr>
            </w:pPr>
          </w:p>
        </w:tc>
        <w:tc>
          <w:tcPr>
            <w:tcW w:w="1134" w:type="dxa"/>
            <w:vAlign w:val="center"/>
          </w:tcPr>
          <w:p>
            <w:pPr>
              <w:rPr>
                <w:rFonts w:hint="default" w:ascii="Times New Roman" w:hAnsi="Times New Roman" w:cs="Times New Roman"/>
                <w:b w:val="0"/>
                <w:bCs w:val="0"/>
                <w:sz w:val="18"/>
                <w:szCs w:val="18"/>
              </w:rPr>
            </w:pPr>
          </w:p>
        </w:tc>
        <w:tc>
          <w:tcPr>
            <w:tcW w:w="3119" w:type="dxa"/>
            <w:vAlign w:val="center"/>
          </w:tcPr>
          <w:p>
            <w:pPr>
              <w:rPr>
                <w:rFonts w:hint="default" w:ascii="Times New Roman" w:hAnsi="Times New Roman" w:cs="Times New Roman"/>
                <w:b w:val="0"/>
                <w:bCs w:val="0"/>
                <w:sz w:val="18"/>
                <w:szCs w:val="18"/>
              </w:rPr>
            </w:pPr>
          </w:p>
        </w:tc>
        <w:tc>
          <w:tcPr>
            <w:tcW w:w="1583" w:type="dxa"/>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 xml:space="preserve">六、上次审核后发生的影响组织管理体系的重要变更（不适用）  </w:t>
      </w:r>
    </w:p>
    <w:tbl>
      <w:tblPr>
        <w:tblStyle w:val="3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8"/>
        </w:numPr>
      </w:pPr>
      <w:r>
        <w:t>审核发现</w:t>
      </w:r>
      <w:r>
        <w:rPr>
          <w:rFonts w:hint="eastAsia"/>
        </w:rPr>
        <w:t>（见 □QMS □EcMS □EMS ☑FSMS ☑HACCP □OHSMS的附件）</w:t>
      </w:r>
    </w:p>
    <w:tbl>
      <w:tblPr>
        <w:tblStyle w:val="3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未关闭，见二阶段审核报告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3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r>
              <w:rPr>
                <w:rFonts w:hint="eastAsia"/>
                <w:highlight w:val="none"/>
                <w:lang w:val="en-US" w:eastAsia="zh-CN"/>
              </w:rPr>
              <w:t>3</w:t>
            </w:r>
          </w:p>
        </w:tc>
        <w:tc>
          <w:tcPr>
            <w:tcW w:w="1717" w:type="dxa"/>
          </w:tcPr>
          <w:p>
            <w:pPr>
              <w:rPr>
                <w:highlight w:val="none"/>
              </w:rPr>
            </w:pPr>
            <w:r>
              <w:rPr>
                <w:rFonts w:hint="eastAsia"/>
                <w:highlight w:val="none"/>
              </w:rPr>
              <w:t>0</w:t>
            </w: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highlight w:val="none"/>
              </w:rPr>
            </w:pPr>
            <w:r>
              <w:rPr>
                <w:rFonts w:hint="eastAsia"/>
                <w:highlight w:val="none"/>
              </w:rPr>
              <w:t>3</w:t>
            </w:r>
          </w:p>
        </w:tc>
        <w:tc>
          <w:tcPr>
            <w:tcW w:w="1717" w:type="dxa"/>
          </w:tcPr>
          <w:p>
            <w:pPr>
              <w:rPr>
                <w:highlight w:val="none"/>
              </w:rPr>
            </w:pPr>
            <w:r>
              <w:rPr>
                <w:rFonts w:hint="eastAsia"/>
                <w:highlight w:val="none"/>
              </w:rPr>
              <w:t>0</w:t>
            </w:r>
          </w:p>
        </w:tc>
        <w:tc>
          <w:tcPr>
            <w:tcW w:w="1560" w:type="dxa"/>
          </w:tcPr>
          <w:p>
            <w:pPr>
              <w:rPr>
                <w:highlight w:val="none"/>
              </w:rPr>
            </w:pPr>
          </w:p>
        </w:tc>
        <w:tc>
          <w:tcPr>
            <w:tcW w:w="2965" w:type="dxa"/>
          </w:tcPr>
          <w:p>
            <w:pPr>
              <w:rPr>
                <w:highlight w:val="none"/>
              </w:rPr>
            </w:pP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3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1587" cy="327413"/>
                          </a:xfrm>
                          <a:prstGeom prst="rect">
                            <a:avLst/>
                          </a:prstGeom>
                        </pic:spPr>
                      </pic:pic>
                    </a:graphicData>
                  </a:graphic>
                </wp:inline>
              </w:drawing>
            </w:r>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2020-</w:t>
            </w:r>
            <w:r>
              <w:rPr>
                <w:highlight w:val="none"/>
              </w:rPr>
              <w:t>1</w:t>
            </w:r>
            <w:r>
              <w:rPr>
                <w:rFonts w:hint="eastAsia"/>
                <w:highlight w:val="none"/>
                <w:lang w:val="en-US" w:eastAsia="zh-CN"/>
              </w:rPr>
              <w:t>2-11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3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 xml:space="preserve">☑法律法规 ☑技术 ☑竞争 ☑市场 ☑文化 ☑社会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t>☑价值观  ☑文化  □知识 □绩效 ☑工艺 ☑设备 ☑人员能力 ☑食品欺诈 ☑故意污染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F4B8FF"/>
              <w:spacing w:before="40" w:after="40"/>
            </w:pPr>
            <w:r>
              <w:rPr>
                <w:rFonts w:hint="eastAsia"/>
              </w:rPr>
              <w:t>☑危害分析☑制订危害控制计划 ☑制订PRP  ☑PRP和危害控制计划实施 ☑验证/确认</w:t>
            </w:r>
          </w:p>
          <w:p>
            <w:pPr>
              <w:shd w:val="clear" w:color="auto" w:fill="F4B8FF"/>
              <w:spacing w:before="40" w:after="40"/>
            </w:pPr>
            <w:r>
              <w:rPr>
                <w:rFonts w:hint="eastAsia"/>
              </w:rPr>
              <w:t>□设备维修  □人员培训 □产品召回 □潜在不合格产品和过程控制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虫鼠害控制</w:t>
            </w:r>
            <w:r>
              <w:rPr>
                <w:rFonts w:hint="eastAsia"/>
                <w:u w:val="single"/>
                <w:lang w:eastAsia="zh-CN"/>
              </w:rPr>
              <w:t>）</w:t>
            </w:r>
            <w:r>
              <w:rPr>
                <w:rFonts w:hint="eastAsia"/>
                <w:u w:val="single"/>
              </w:rPr>
              <w:t xml:space="preserve"> </w:t>
            </w:r>
            <w:r>
              <w:rPr>
                <w:rFonts w:hint="eastAsia"/>
              </w:rPr>
              <w:t xml:space="preserve"> </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Pr>
                <w:rFonts w:hint="eastAsia"/>
                <w:b/>
                <w:bCs/>
                <w:color w:val="000000"/>
                <w:szCs w:val="18"/>
                <w:u w:val="single"/>
                <w:lang w:val="en-US" w:eastAsia="zh-CN"/>
              </w:rPr>
              <w:t>保障食品安全，控制食品危害；完善管理标准，提供放心餐饮</w:t>
            </w:r>
            <w:r>
              <w:rPr>
                <w:rFonts w:hint="eastAsia" w:ascii="宋体" w:hAnsi="宋体" w:cs="宋体"/>
                <w:bCs/>
                <w:sz w:val="24"/>
                <w:u w:val="single"/>
              </w:rPr>
              <w:t>。</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王小静</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3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r>
                    <w:rPr>
                      <w:rFonts w:hint="eastAsia"/>
                    </w:rPr>
                    <w:t>应对措施</w:t>
                  </w:r>
                </w:p>
              </w:tc>
              <w:tc>
                <w:tcPr>
                  <w:tcW w:w="2255"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人员</w:t>
                  </w:r>
                  <w:r>
                    <w:rPr>
                      <w:rFonts w:hint="eastAsia" w:ascii="宋体" w:hAnsi="宋体" w:cs="宋体"/>
                      <w:i w:val="0"/>
                      <w:color w:val="000000"/>
                      <w:kern w:val="0"/>
                      <w:sz w:val="20"/>
                      <w:szCs w:val="20"/>
                      <w:highlight w:val="none"/>
                      <w:u w:val="none"/>
                      <w:lang w:val="en-US" w:eastAsia="zh-CN" w:bidi="ar"/>
                    </w:rPr>
                    <w:t>年龄结构差异偏大，对食品安全</w:t>
                  </w:r>
                  <w:r>
                    <w:rPr>
                      <w:rFonts w:hint="eastAsia" w:ascii="宋体" w:hAnsi="宋体" w:eastAsia="宋体" w:cs="宋体"/>
                      <w:i w:val="0"/>
                      <w:color w:val="000000"/>
                      <w:kern w:val="0"/>
                      <w:sz w:val="20"/>
                      <w:szCs w:val="20"/>
                      <w:highlight w:val="none"/>
                      <w:u w:val="none"/>
                      <w:lang w:val="en-US" w:eastAsia="zh-CN" w:bidi="ar"/>
                    </w:rPr>
                    <w:t>意识</w:t>
                  </w:r>
                  <w:r>
                    <w:rPr>
                      <w:rFonts w:hint="eastAsia" w:ascii="宋体" w:hAnsi="宋体" w:cs="宋体"/>
                      <w:i w:val="0"/>
                      <w:color w:val="000000"/>
                      <w:kern w:val="0"/>
                      <w:sz w:val="20"/>
                      <w:szCs w:val="20"/>
                      <w:highlight w:val="none"/>
                      <w:u w:val="none"/>
                      <w:lang w:val="en-US" w:eastAsia="zh-CN" w:bidi="ar"/>
                    </w:rPr>
                    <w:t>理解有一定差异</w:t>
                  </w:r>
                </w:p>
              </w:tc>
              <w:tc>
                <w:tcPr>
                  <w:tcW w:w="3421"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制定相应管理文件，组织员工参与岗位</w:t>
                  </w:r>
                  <w:r>
                    <w:rPr>
                      <w:rFonts w:hint="eastAsia" w:ascii="宋体" w:hAnsi="宋体" w:cs="宋体"/>
                      <w:i w:val="0"/>
                      <w:color w:val="000000"/>
                      <w:kern w:val="0"/>
                      <w:sz w:val="20"/>
                      <w:szCs w:val="20"/>
                      <w:highlight w:val="none"/>
                      <w:u w:val="none"/>
                      <w:lang w:val="en-US" w:eastAsia="zh-CN" w:bidi="ar"/>
                    </w:rPr>
                    <w:t>食品安全危害</w:t>
                  </w:r>
                  <w:r>
                    <w:rPr>
                      <w:rFonts w:hint="eastAsia" w:ascii="宋体" w:hAnsi="宋体" w:eastAsia="宋体" w:cs="宋体"/>
                      <w:i w:val="0"/>
                      <w:color w:val="000000"/>
                      <w:kern w:val="0"/>
                      <w:sz w:val="20"/>
                      <w:szCs w:val="20"/>
                      <w:highlight w:val="none"/>
                      <w:u w:val="none"/>
                      <w:lang w:val="en-US" w:eastAsia="zh-CN" w:bidi="ar"/>
                    </w:rPr>
                    <w:t>的识别，岗位及食堂重要因素的培训</w:t>
                  </w:r>
                  <w:r>
                    <w:rPr>
                      <w:rFonts w:hint="eastAsia" w:ascii="宋体" w:hAnsi="宋体" w:cs="宋体"/>
                      <w:i w:val="0"/>
                      <w:color w:val="000000"/>
                      <w:kern w:val="0"/>
                      <w:sz w:val="20"/>
                      <w:szCs w:val="20"/>
                      <w:highlight w:val="none"/>
                      <w:u w:val="none"/>
                      <w:lang w:val="en-US" w:eastAsia="zh-CN" w:bidi="ar"/>
                    </w:rPr>
                    <w:t>，招聘新员工，逐渐调整队伍年龄结构。</w:t>
                  </w:r>
                </w:p>
              </w:tc>
              <w:tc>
                <w:tcPr>
                  <w:tcW w:w="2255"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p>
              </w:tc>
              <w:tc>
                <w:tcPr>
                  <w:tcW w:w="3421" w:type="dxa"/>
                  <w:vAlign w:val="center"/>
                </w:tcPr>
                <w:p>
                  <w:pPr>
                    <w:widowControl/>
                    <w:jc w:val="left"/>
                    <w:textAlignment w:val="center"/>
                  </w:pPr>
                </w:p>
              </w:tc>
              <w:tc>
                <w:tcPr>
                  <w:tcW w:w="225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p>
              </w:tc>
              <w:tc>
                <w:tcPr>
                  <w:tcW w:w="3421" w:type="dxa"/>
                  <w:vAlign w:val="center"/>
                </w:tcPr>
                <w:p>
                  <w:pPr>
                    <w:widowControl/>
                    <w:jc w:val="left"/>
                    <w:textAlignment w:val="center"/>
                  </w:pPr>
                </w:p>
              </w:tc>
              <w:tc>
                <w:tcPr>
                  <w:tcW w:w="2255" w:type="dxa"/>
                </w:tcPr>
                <w:p/>
              </w:tc>
            </w:tr>
          </w:tbl>
          <w:p>
            <w:pPr>
              <w:shd w:val="clear" w:color="auto" w:fill="F4B8FF"/>
            </w:pPr>
          </w:p>
          <w:tbl>
            <w:tblPr>
              <w:tblStyle w:val="3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因本公司的管理比较严格，赢得更多的客户</w:t>
                  </w:r>
                </w:p>
              </w:tc>
              <w:tc>
                <w:tcPr>
                  <w:tcW w:w="376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加强食品安全的日常监督管理</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tc>
              <w:tc>
                <w:tcPr>
                  <w:tcW w:w="376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tc>
              <w:tc>
                <w:tcPr>
                  <w:tcW w:w="3760" w:type="dxa"/>
                </w:tcPr>
                <w:p/>
              </w:tc>
              <w:tc>
                <w:tcPr>
                  <w:tcW w:w="1717" w:type="dxa"/>
                </w:tcPr>
                <w:p/>
              </w:tc>
            </w:tr>
          </w:tbl>
          <w:p>
            <w:pPr>
              <w:shd w:val="clear" w:color="auto" w:fill="F4B8FF"/>
            </w:pPr>
          </w:p>
          <w:p>
            <w:pPr>
              <w:shd w:val="clear" w:color="auto" w:fill="F4B8FF"/>
            </w:pPr>
          </w:p>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157"/>
              <w:gridCol w:w="302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1157" w:type="dxa"/>
                  <w:shd w:val="clear" w:color="auto" w:fill="auto"/>
                </w:tcPr>
                <w:p>
                  <w:pPr>
                    <w:shd w:val="clear" w:color="auto" w:fill="F4B8FF"/>
                    <w:rPr>
                      <w:rFonts w:ascii="宋体" w:hAnsi="宋体"/>
                    </w:rPr>
                  </w:pPr>
                  <w:r>
                    <w:rPr>
                      <w:rFonts w:hint="eastAsia" w:ascii="宋体" w:hAnsi="宋体"/>
                    </w:rPr>
                    <w:t>计算方法</w:t>
                  </w:r>
                </w:p>
              </w:tc>
              <w:tc>
                <w:tcPr>
                  <w:tcW w:w="3020" w:type="dxa"/>
                  <w:shd w:val="clear" w:color="auto" w:fill="auto"/>
                </w:tcPr>
                <w:p>
                  <w:pPr>
                    <w:shd w:val="clear" w:color="auto" w:fill="F4B8FF"/>
                    <w:rPr>
                      <w:rFonts w:ascii="宋体" w:hAnsi="宋体"/>
                    </w:rPr>
                  </w:pPr>
                  <w:r>
                    <w:rPr>
                      <w:rFonts w:hint="eastAsia" w:ascii="宋体" w:hAnsi="宋体"/>
                    </w:rPr>
                    <w:t>责任部门</w:t>
                  </w:r>
                </w:p>
              </w:tc>
              <w:tc>
                <w:tcPr>
                  <w:tcW w:w="2610" w:type="dxa"/>
                  <w:shd w:val="clear" w:color="auto" w:fill="auto"/>
                </w:tcPr>
                <w:p>
                  <w:pPr>
                    <w:shd w:val="clear" w:color="auto" w:fill="F4B8FF"/>
                    <w:rPr>
                      <w:rFonts w:hint="default" w:ascii="宋体" w:hAnsi="宋体" w:eastAsia="宋体"/>
                      <w:lang w:val="en-US"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审核周期</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157"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每年</w:t>
                  </w:r>
                </w:p>
              </w:tc>
              <w:tc>
                <w:tcPr>
                  <w:tcW w:w="3020"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610" w:type="dxa"/>
                  <w:shd w:val="clear" w:color="auto" w:fill="auto"/>
                </w:tcPr>
                <w:p>
                  <w:pPr>
                    <w:shd w:val="clear" w:color="auto" w:fill="F4B8FF"/>
                    <w:jc w:val="center"/>
                    <w:rPr>
                      <w:rFonts w:ascii="宋体" w:hAnsi="宋体"/>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CCP 的偏离次数每年不超过 3 次</w:t>
                  </w:r>
                </w:p>
              </w:tc>
              <w:tc>
                <w:tcPr>
                  <w:tcW w:w="1157"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每年</w:t>
                  </w:r>
                </w:p>
              </w:tc>
              <w:tc>
                <w:tcPr>
                  <w:tcW w:w="3020"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610"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食品接触的人、原料、设备 100%安全</w:t>
                  </w:r>
                </w:p>
              </w:tc>
              <w:tc>
                <w:tcPr>
                  <w:tcW w:w="115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w:t>
                  </w:r>
                  <w:r>
                    <w:rPr>
                      <w:rFonts w:hint="eastAsia"/>
                      <w:color w:val="000000"/>
                      <w:szCs w:val="21"/>
                      <w:lang w:val="en-US" w:eastAsia="zh-CN"/>
                    </w:rPr>
                    <w:t>季度</w:t>
                  </w:r>
                </w:p>
              </w:tc>
              <w:tc>
                <w:tcPr>
                  <w:tcW w:w="3020"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highlight w:val="none"/>
                      <w:lang w:val="en-US" w:eastAsia="zh-CN"/>
                    </w:rPr>
                    <w:t>采购原料100%索证、100%从合格供方购入</w:t>
                  </w:r>
                </w:p>
              </w:tc>
              <w:tc>
                <w:tcPr>
                  <w:tcW w:w="2610"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157" w:type="dxa"/>
                  <w:shd w:val="clear" w:color="auto" w:fill="auto"/>
                </w:tcPr>
                <w:p>
                  <w:pPr>
                    <w:shd w:val="clear" w:color="auto" w:fill="F4B8FF"/>
                    <w:rPr>
                      <w:rFonts w:ascii="宋体" w:hAnsi="宋体"/>
                    </w:rPr>
                  </w:pPr>
                </w:p>
              </w:tc>
              <w:tc>
                <w:tcPr>
                  <w:tcW w:w="3020" w:type="dxa"/>
                  <w:shd w:val="clear" w:color="auto" w:fill="auto"/>
                </w:tcPr>
                <w:p>
                  <w:pPr>
                    <w:shd w:val="clear" w:color="auto" w:fill="F4B8FF"/>
                    <w:rPr>
                      <w:rFonts w:ascii="宋体" w:hAnsi="宋体"/>
                    </w:rPr>
                  </w:pPr>
                </w:p>
              </w:tc>
              <w:tc>
                <w:tcPr>
                  <w:tcW w:w="2610" w:type="dxa"/>
                  <w:shd w:val="clear" w:color="auto" w:fill="auto"/>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157" w:type="dxa"/>
                  <w:shd w:val="clear" w:color="auto" w:fill="auto"/>
                  <w:vAlign w:val="center"/>
                </w:tcPr>
                <w:p>
                  <w:pPr>
                    <w:shd w:val="clear" w:color="auto" w:fill="F4B8FF"/>
                    <w:rPr>
                      <w:rFonts w:ascii="宋体" w:hAnsi="宋体"/>
                    </w:rPr>
                  </w:pPr>
                </w:p>
              </w:tc>
              <w:tc>
                <w:tcPr>
                  <w:tcW w:w="3020" w:type="dxa"/>
                  <w:shd w:val="clear" w:color="auto" w:fill="auto"/>
                  <w:vAlign w:val="center"/>
                </w:tcPr>
                <w:p>
                  <w:pPr>
                    <w:shd w:val="clear" w:color="auto" w:fill="F4B8FF"/>
                    <w:rPr>
                      <w:rFonts w:ascii="宋体" w:hAnsi="宋体"/>
                    </w:rPr>
                  </w:pPr>
                </w:p>
              </w:tc>
              <w:tc>
                <w:tcPr>
                  <w:tcW w:w="2610"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w:t>
            </w:r>
            <w:r>
              <w:rPr>
                <w:rFonts w:hint="eastAsia"/>
                <w:u w:val="single"/>
              </w:rPr>
              <w:t xml:space="preserve">  </w:t>
            </w:r>
            <w:r>
              <w:rPr>
                <w:u w:val="single"/>
              </w:rPr>
              <w:t>6</w:t>
            </w:r>
            <w:r>
              <w:rPr>
                <w:rFonts w:hint="eastAsia"/>
                <w:u w:val="single"/>
                <w:lang w:val="en-US" w:eastAsia="zh-CN"/>
              </w:rPr>
              <w:t>00</w:t>
            </w:r>
            <w:r>
              <w:rPr>
                <w:rFonts w:hint="eastAsia"/>
                <w:u w:val="single"/>
              </w:rPr>
              <w:t xml:space="preserve"> </w:t>
            </w:r>
            <w:r>
              <w:rPr>
                <w:rFonts w:hint="eastAsia"/>
              </w:rPr>
              <w:t>平方米；加工间</w:t>
            </w:r>
            <w:r>
              <w:rPr>
                <w:rFonts w:hint="eastAsia"/>
                <w:u w:val="single"/>
              </w:rPr>
              <w:t xml:space="preserve"> </w:t>
            </w:r>
            <w:r>
              <w:rPr>
                <w:u w:val="single"/>
              </w:rPr>
              <w:t xml:space="preserve">2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0   </w:t>
            </w:r>
            <w:r>
              <w:rPr>
                <w:rFonts w:hint="eastAsia"/>
              </w:rPr>
              <w:t>个；运货车辆</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辆</w:t>
            </w:r>
          </w:p>
          <w:p>
            <w:pPr>
              <w:shd w:val="clear" w:color="auto" w:fill="F4B8FF"/>
              <w:rPr>
                <w:u w:val="single"/>
              </w:rPr>
            </w:pPr>
            <w:r>
              <w:rPr>
                <w:rFonts w:hint="eastAsia"/>
              </w:rPr>
              <w:t>主要生产设备有：</w:t>
            </w:r>
            <w:r>
              <w:rPr>
                <w:rFonts w:hint="eastAsia" w:ascii="宋体" w:hAnsi="宋体"/>
                <w:u w:val="single"/>
                <w:lang w:val="en-US" w:eastAsia="zh-CN"/>
              </w:rPr>
              <w:t>热风循环</w:t>
            </w:r>
            <w:r>
              <w:rPr>
                <w:rFonts w:hint="eastAsia" w:ascii="宋体" w:hAnsi="宋体"/>
                <w:u w:val="single"/>
              </w:rPr>
              <w:t xml:space="preserve">消毒柜、 </w:t>
            </w:r>
            <w:r>
              <w:rPr>
                <w:rFonts w:hint="eastAsia" w:ascii="宋体" w:hAnsi="宋体"/>
                <w:u w:val="single"/>
                <w:lang w:val="en-US" w:eastAsia="zh-CN"/>
              </w:rPr>
              <w:t>灶具、蒸箱、红外餐具消毒柜、留样柜</w:t>
            </w:r>
            <w:r>
              <w:rPr>
                <w:rFonts w:hint="eastAsia"/>
                <w:u w:val="single"/>
              </w:rPr>
              <w:t xml:space="preserve">                                 （列举2~4种）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家，例如：</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 xml:space="preserve">主要原材料的供方— </w:t>
            </w:r>
            <w:r>
              <w:rPr>
                <w:rFonts w:hint="eastAsia"/>
                <w:color w:val="0000FF"/>
                <w:szCs w:val="21"/>
                <w:highlight w:val="none"/>
                <w:lang w:val="en-US" w:eastAsia="zh-CN"/>
              </w:rPr>
              <w:t>粮油类、调料类（南京市溧水区园村粮油门市部）</w:t>
            </w:r>
            <w:r>
              <w:rPr>
                <w:rFonts w:hint="eastAsia"/>
                <w:color w:val="0000FF"/>
                <w:szCs w:val="21"/>
                <w:highlight w:val="none"/>
              </w:rPr>
              <w:t xml:space="preserve"> </w:t>
            </w:r>
          </w:p>
          <w:p>
            <w:pPr>
              <w:widowControl/>
              <w:numPr>
                <w:ilvl w:val="0"/>
                <w:numId w:val="9"/>
              </w:numPr>
              <w:snapToGrid w:val="0"/>
              <w:spacing w:before="40" w:after="40" w:line="264" w:lineRule="auto"/>
              <w:rPr>
                <w:rFonts w:hint="eastAsia"/>
                <w:color w:val="0000FF"/>
                <w:szCs w:val="21"/>
                <w:highlight w:val="none"/>
              </w:rPr>
            </w:pPr>
            <w:r>
              <w:rPr>
                <w:rFonts w:hint="eastAsia"/>
                <w:color w:val="0000FF"/>
                <w:szCs w:val="21"/>
                <w:highlight w:val="none"/>
              </w:rPr>
              <w:t xml:space="preserve">要原材料的供方— </w:t>
            </w:r>
            <w:r>
              <w:rPr>
                <w:rFonts w:hint="eastAsia"/>
                <w:color w:val="0000FF"/>
                <w:szCs w:val="21"/>
                <w:highlight w:val="none"/>
                <w:lang w:val="en-US" w:eastAsia="zh-CN"/>
              </w:rPr>
              <w:t>肉类、果蔬（</w:t>
            </w:r>
            <w:r>
              <w:rPr>
                <w:rFonts w:hint="eastAsia"/>
                <w:color w:val="0000FF"/>
                <w:szCs w:val="21"/>
                <w:highlight w:val="none"/>
              </w:rPr>
              <w:t>南京强强食品有限公司</w:t>
            </w:r>
            <w:r>
              <w:rPr>
                <w:rFonts w:hint="eastAsia"/>
                <w:color w:val="0000FF"/>
                <w:szCs w:val="21"/>
                <w:highlight w:val="none"/>
                <w:lang w:val="en-US" w:eastAsia="zh-CN"/>
              </w:rPr>
              <w:t>）</w:t>
            </w:r>
          </w:p>
          <w:p>
            <w:pPr>
              <w:widowControl/>
              <w:numPr>
                <w:ilvl w:val="0"/>
                <w:numId w:val="9"/>
              </w:numPr>
              <w:snapToGrid w:val="0"/>
              <w:spacing w:before="40" w:after="40" w:line="264" w:lineRule="auto"/>
              <w:rPr>
                <w:rFonts w:hint="eastAsia"/>
                <w:color w:val="0000FF"/>
                <w:szCs w:val="21"/>
                <w:highlight w:val="none"/>
              </w:rPr>
            </w:pPr>
            <w:r>
              <w:rPr>
                <w:rFonts w:hint="eastAsia"/>
                <w:color w:val="0000FF"/>
                <w:szCs w:val="21"/>
                <w:highlight w:val="none"/>
              </w:rPr>
              <w:t xml:space="preserve">辅料的供方—— </w:t>
            </w:r>
            <w:r>
              <w:rPr>
                <w:color w:val="0000FF"/>
                <w:szCs w:val="21"/>
                <w:highlight w:val="none"/>
              </w:rPr>
              <w:t xml:space="preserve"> </w:t>
            </w:r>
            <w:r>
              <w:rPr>
                <w:rFonts w:hint="eastAsia"/>
                <w:color w:val="0000FF"/>
                <w:szCs w:val="21"/>
                <w:highlight w:val="none"/>
                <w:lang w:val="en-US" w:eastAsia="zh-CN"/>
              </w:rPr>
              <w:t>调料类</w:t>
            </w:r>
            <w:r>
              <w:rPr>
                <w:rFonts w:hint="eastAsia"/>
                <w:color w:val="0000FF"/>
                <w:szCs w:val="21"/>
                <w:highlight w:val="none"/>
              </w:rPr>
              <w:t xml:space="preserve"> </w:t>
            </w:r>
            <w:r>
              <w:rPr>
                <w:rFonts w:hint="eastAsia"/>
                <w:color w:val="0000FF"/>
                <w:szCs w:val="21"/>
                <w:highlight w:val="none"/>
                <w:lang w:val="en-US" w:eastAsia="zh-CN"/>
              </w:rPr>
              <w:t>（南京市溧水区园村粮油门市部）</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 xml:space="preserve">餐具的供方——  </w:t>
            </w:r>
            <w:r>
              <w:rPr>
                <w:rFonts w:hint="eastAsia"/>
                <w:color w:val="0000FF"/>
                <w:szCs w:val="21"/>
                <w:highlight w:val="none"/>
                <w:lang w:val="en-US" w:eastAsia="zh-CN"/>
              </w:rPr>
              <w:t>近期没有采购</w:t>
            </w:r>
          </w:p>
          <w:p>
            <w:pPr>
              <w:widowControl/>
              <w:numPr>
                <w:ilvl w:val="0"/>
                <w:numId w:val="9"/>
              </w:numPr>
              <w:snapToGrid w:val="0"/>
              <w:spacing w:before="40" w:after="40" w:line="264" w:lineRule="auto"/>
              <w:rPr>
                <w:color w:val="0000FF"/>
                <w:szCs w:val="21"/>
              </w:rPr>
            </w:pPr>
            <w:r>
              <w:rPr>
                <w:rFonts w:hint="eastAsia"/>
                <w:color w:val="0000FF"/>
                <w:szCs w:val="21"/>
              </w:rPr>
              <w:t>外包的供方——  甲方（</w:t>
            </w:r>
            <w:r>
              <w:rPr>
                <w:rFonts w:hint="eastAsia"/>
                <w:color w:val="0000FF"/>
                <w:szCs w:val="21"/>
                <w:lang w:val="en-US" w:eastAsia="zh-CN"/>
              </w:rPr>
              <w:t>石湫街道办事处</w:t>
            </w:r>
            <w:r>
              <w:rPr>
                <w:rFonts w:hint="eastAsia"/>
                <w:color w:val="0000FF"/>
                <w:szCs w:val="21"/>
              </w:rPr>
              <w:t>）</w:t>
            </w:r>
            <w:r>
              <w:rPr>
                <w:color w:val="0000FF"/>
                <w:szCs w:val="21"/>
              </w:rPr>
              <w:t xml:space="preserve"> </w:t>
            </w:r>
          </w:p>
          <w:p>
            <w:pPr>
              <w:shd w:val="clear" w:color="auto" w:fill="F4B8FF"/>
              <w:jc w:val="left"/>
            </w:pPr>
            <w:r>
              <w:rPr>
                <w:rFonts w:hint="eastAsia"/>
                <w:highlight w:val="none"/>
              </w:rPr>
              <w:t>与外部供方评价的信息：</w:t>
            </w:r>
            <w:r>
              <w:rPr>
                <w:rFonts w:hint="eastAsia"/>
                <w:highlight w:val="none"/>
                <w:lang w:eastAsia="zh-CN"/>
              </w:rPr>
              <w:t>□</w:t>
            </w:r>
            <w:r>
              <w:rPr>
                <w:rFonts w:hint="eastAsia"/>
                <w:highlight w:val="none"/>
              </w:rPr>
              <w:t xml:space="preserve">符合要求 </w:t>
            </w:r>
            <w:r>
              <w:rPr>
                <w:rFonts w:hint="eastAsia"/>
                <w:highlight w:val="none"/>
              </w:rPr>
              <w:sym w:font="Wingdings" w:char="00FE"/>
            </w:r>
            <w:r>
              <w:rPr>
                <w:rFonts w:hint="eastAsia"/>
                <w:highlight w:val="none"/>
              </w:rPr>
              <w:t>存在不足，说明</w:t>
            </w:r>
            <w:r>
              <w:rPr>
                <w:rFonts w:hint="eastAsia"/>
                <w:highlight w:val="none"/>
                <w:u w:val="single"/>
              </w:rPr>
              <w:t xml:space="preserve"> </w:t>
            </w:r>
            <w:r>
              <w:rPr>
                <w:rFonts w:hint="eastAsia"/>
                <w:color w:val="FF0000"/>
                <w:highlight w:val="none"/>
                <w:u w:val="single"/>
                <w:lang w:val="en-US" w:eastAsia="zh-CN"/>
              </w:rPr>
              <w:t>未提供证据表明对供方进行评价，见不符合报告01</w:t>
            </w:r>
            <w:r>
              <w:rPr>
                <w:rFonts w:hint="eastAsia"/>
                <w:color w:val="FF0000"/>
                <w:highlight w:val="none"/>
                <w:u w:val="single"/>
              </w:rPr>
              <w:t xml:space="preserve">       </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确保与产品/服务接触的员工定期（近一年）进行了健康体检，并合格上岗。</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993"/>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岗位</w:t>
                  </w:r>
                </w:p>
              </w:tc>
              <w:tc>
                <w:tcPr>
                  <w:tcW w:w="993"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姓氏</w:t>
                  </w:r>
                </w:p>
              </w:tc>
              <w:tc>
                <w:tcPr>
                  <w:tcW w:w="269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健康证编号</w:t>
                  </w:r>
                </w:p>
              </w:tc>
              <w:tc>
                <w:tcPr>
                  <w:tcW w:w="2841"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餐</w:t>
                  </w:r>
                  <w:r>
                    <w:rPr>
                      <w:highlight w:val="none"/>
                    </w:rPr>
                    <w:t>饮</w:t>
                  </w:r>
                  <w:r>
                    <w:rPr>
                      <w:rFonts w:hint="eastAsia"/>
                      <w:highlight w:val="none"/>
                      <w:lang w:val="en-US" w:eastAsia="zh-CN"/>
                    </w:rPr>
                    <w:t>服务部经理</w:t>
                  </w:r>
                </w:p>
              </w:tc>
              <w:tc>
                <w:tcPr>
                  <w:tcW w:w="993"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陆秀龙</w:t>
                  </w:r>
                </w:p>
              </w:tc>
              <w:tc>
                <w:tcPr>
                  <w:tcW w:w="269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苏32012450320009154号</w:t>
                  </w:r>
                </w:p>
              </w:tc>
              <w:tc>
                <w:tcPr>
                  <w:tcW w:w="284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020-0</w:t>
                  </w:r>
                  <w:r>
                    <w:rPr>
                      <w:rFonts w:hint="eastAsia"/>
                      <w:highlight w:val="none"/>
                      <w:lang w:val="en-US" w:eastAsia="zh-CN"/>
                    </w:rPr>
                    <w:t>6-02~2021-06-02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食品安全小组组长</w:t>
                  </w:r>
                </w:p>
              </w:tc>
              <w:tc>
                <w:tcPr>
                  <w:tcW w:w="993"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王小静</w:t>
                  </w:r>
                  <w:r>
                    <w:rPr>
                      <w:rFonts w:hint="eastAsia"/>
                      <w:highlight w:val="none"/>
                    </w:rPr>
                    <w:t xml:space="preserve"> </w:t>
                  </w:r>
                </w:p>
              </w:tc>
              <w:tc>
                <w:tcPr>
                  <w:tcW w:w="269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苏32012450320008818号</w:t>
                  </w:r>
                </w:p>
              </w:tc>
              <w:tc>
                <w:tcPr>
                  <w:tcW w:w="284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020-05-2</w:t>
                  </w:r>
                  <w:r>
                    <w:rPr>
                      <w:rFonts w:hint="eastAsia"/>
                      <w:highlight w:val="none"/>
                      <w:lang w:val="en-US" w:eastAsia="zh-CN"/>
                    </w:rPr>
                    <w:t>8</w:t>
                  </w:r>
                  <w:r>
                    <w:rPr>
                      <w:highlight w:val="none"/>
                    </w:rPr>
                    <w:t>~2021-05-2</w:t>
                  </w:r>
                  <w:r>
                    <w:rPr>
                      <w:rFonts w:hint="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操作工</w:t>
                  </w:r>
                </w:p>
              </w:tc>
              <w:tc>
                <w:tcPr>
                  <w:tcW w:w="993"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汪腊美</w:t>
                  </w:r>
                </w:p>
              </w:tc>
              <w:tc>
                <w:tcPr>
                  <w:tcW w:w="269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苏32012450320008949号</w:t>
                  </w:r>
                </w:p>
              </w:tc>
              <w:tc>
                <w:tcPr>
                  <w:tcW w:w="284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2020-05-29~2021-05-29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食品服务部（采购验证）</w:t>
                  </w:r>
                </w:p>
              </w:tc>
              <w:tc>
                <w:tcPr>
                  <w:tcW w:w="993"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王华</w:t>
                  </w:r>
                </w:p>
              </w:tc>
              <w:tc>
                <w:tcPr>
                  <w:tcW w:w="0" w:type="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苏32012450320009147号</w:t>
                  </w:r>
                </w:p>
              </w:tc>
              <w:tc>
                <w:tcPr>
                  <w:tcW w:w="0" w:type="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020-0</w:t>
                  </w:r>
                  <w:r>
                    <w:rPr>
                      <w:rFonts w:hint="eastAsia"/>
                      <w:highlight w:val="none"/>
                      <w:lang w:val="en-US" w:eastAsia="zh-CN"/>
                    </w:rPr>
                    <w:t>6-02~2021-06-02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餐</w:t>
                  </w:r>
                  <w:r>
                    <w:rPr>
                      <w:highlight w:val="none"/>
                    </w:rPr>
                    <w:t>饮部</w:t>
                  </w:r>
                  <w:r>
                    <w:rPr>
                      <w:rFonts w:hint="eastAsia"/>
                      <w:highlight w:val="none"/>
                    </w:rPr>
                    <w:t>职</w:t>
                  </w:r>
                  <w:r>
                    <w:rPr>
                      <w:highlight w:val="none"/>
                    </w:rPr>
                    <w:t>工</w:t>
                  </w:r>
                </w:p>
              </w:tc>
              <w:tc>
                <w:tcPr>
                  <w:tcW w:w="993"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王学凤</w:t>
                  </w:r>
                </w:p>
              </w:tc>
              <w:tc>
                <w:tcPr>
                  <w:tcW w:w="0" w:type="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苏32012450320009057号</w:t>
                  </w:r>
                </w:p>
              </w:tc>
              <w:tc>
                <w:tcPr>
                  <w:tcW w:w="0" w:type="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020-0</w:t>
                  </w:r>
                  <w:r>
                    <w:rPr>
                      <w:rFonts w:hint="eastAsia"/>
                      <w:highlight w:val="none"/>
                      <w:lang w:val="en-US" w:eastAsia="zh-CN"/>
                    </w:rPr>
                    <w:t>6-01~2021-06-01</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营销</w:t>
            </w:r>
            <w:r>
              <w:rPr>
                <w:rFonts w:hint="eastAsia"/>
              </w:rPr>
              <w:t>部人员、 ☑餐</w:t>
            </w:r>
            <w:r>
              <w:t>饮管理</w:t>
            </w:r>
            <w:r>
              <w:rPr>
                <w:rFonts w:hint="eastAsia"/>
              </w:rPr>
              <w:t>部人员、☑综</w:t>
            </w:r>
            <w:r>
              <w:t>合</w:t>
            </w:r>
            <w:r>
              <w:rPr>
                <w:rFonts w:hint="eastAsia"/>
              </w:rPr>
              <w:t>部人员、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内部沟通信息：☑ORP  ☑OPRO  ☑HACCP计划  ☑人员能力和职责  ☑法规和顾客要求 </w:t>
            </w:r>
          </w:p>
          <w:p>
            <w:pPr>
              <w:shd w:val="clear" w:color="auto" w:fill="F4B8FF"/>
              <w:ind w:firstLine="1470" w:firstLineChars="70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☑外包控制要求  </w:t>
            </w:r>
          </w:p>
          <w:p>
            <w:pPr>
              <w:shd w:val="clear" w:color="auto" w:fill="F4B8FF"/>
              <w:ind w:firstLine="210" w:firstLineChars="100"/>
            </w:pP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《餐饮服务食品安全操作规范》</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t>□</w:t>
            </w:r>
            <w:r>
              <w:rPr>
                <w:rFonts w:hint="eastAsia"/>
              </w:rPr>
              <w:t xml:space="preserve">有   </w:t>
            </w:r>
            <w:r>
              <w:rPr>
                <w:rFonts w:hint="eastAsia"/>
              </w:rPr>
              <w:sym w:font="Wingdings" w:char="00FE"/>
            </w:r>
            <w:r>
              <w:rPr>
                <w:rFonts w:hint="eastAsia"/>
              </w:rPr>
              <w:t>无</w:t>
            </w:r>
            <w:r>
              <w:rPr>
                <w:rFonts w:hint="eastAsia"/>
                <w:color w:val="FF0000"/>
                <w:lang w:eastAsia="zh-CN"/>
              </w:rPr>
              <w:t>（</w:t>
            </w:r>
            <w:r>
              <w:rPr>
                <w:rFonts w:hint="eastAsia"/>
                <w:color w:val="FF0000"/>
                <w:lang w:val="en-US" w:eastAsia="zh-CN"/>
              </w:rPr>
              <w:t>见不符合报告02</w:t>
            </w:r>
            <w:r>
              <w:rPr>
                <w:rFonts w:hint="eastAsia"/>
                <w:color w:val="FF0000"/>
                <w:lang w:eastAsia="zh-CN"/>
              </w:rPr>
              <w:t>）</w:t>
            </w:r>
          </w:p>
          <w:p>
            <w:pPr>
              <w:shd w:val="clear" w:color="auto" w:fill="F4B8FF"/>
              <w:ind w:firstLine="420" w:firstLineChars="200"/>
              <w:rPr>
                <w:rFonts w:hint="eastAsia"/>
              </w:rPr>
            </w:pPr>
            <w:r>
              <w:rPr>
                <w:rFonts w:hint="eastAsia"/>
                <w:color w:val="FF0000"/>
                <w:u w:val="single"/>
                <w:lang w:val="en-US" w:eastAsia="zh-CN"/>
              </w:rPr>
              <w:t>2020-11-29在现场查看有购入的蔬菜和肉类食材，但是查看当天的“食品及原材料采购进货查验记录和进货验证记录”，未见相关内容。</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u w:val="single"/>
              </w:rPr>
              <w:t>1</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rFonts w:hint="eastAsia" w:eastAsia="宋体"/>
                <w:lang w:eastAsia="zh-CN"/>
              </w:rPr>
            </w:pPr>
            <w:r>
              <w:rPr>
                <w:rFonts w:hint="eastAsia"/>
              </w:rPr>
              <w:sym w:font="Wingdings" w:char="00A8"/>
            </w:r>
            <w:r>
              <w:rPr>
                <w:rFonts w:hint="eastAsia"/>
              </w:rPr>
              <w:t xml:space="preserve">停水 </w:t>
            </w:r>
            <w:r>
              <w:rPr>
                <w:rFonts w:hint="eastAsia"/>
              </w:rPr>
              <w:sym w:font="Wingdings" w:char="00A8"/>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危化品泄露  ☑</w:t>
            </w:r>
            <w:r>
              <w:rPr>
                <w:rFonts w:hint="eastAsia"/>
                <w:lang w:val="en-US" w:eastAsia="zh-CN"/>
              </w:rPr>
              <w:t>食物中毒</w:t>
            </w:r>
          </w:p>
          <w:p>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06</w:t>
            </w:r>
            <w:r>
              <w:rPr>
                <w:rFonts w:hint="eastAsia"/>
                <w:u w:val="single"/>
              </w:rPr>
              <w:t xml:space="preserve"> </w:t>
            </w:r>
            <w:r>
              <w:rPr>
                <w:rFonts w:hint="eastAsia"/>
              </w:rPr>
              <w:t>月</w:t>
            </w:r>
            <w:r>
              <w:rPr>
                <w:rFonts w:hint="eastAsia"/>
                <w:u w:val="single"/>
              </w:rPr>
              <w:t xml:space="preserve"> </w:t>
            </w:r>
            <w:r>
              <w:rPr>
                <w:u w:val="single"/>
              </w:rPr>
              <w:t>2</w:t>
            </w:r>
            <w:r>
              <w:rPr>
                <w:rFonts w:hint="eastAsia"/>
                <w:u w:val="single"/>
                <w:lang w:val="en-US" w:eastAsia="zh-CN"/>
              </w:rPr>
              <w:t>8</w:t>
            </w:r>
            <w:r>
              <w:rPr>
                <w:rFonts w:hint="eastAsia"/>
                <w:u w:val="single"/>
              </w:rPr>
              <w:t xml:space="preserve">  </w:t>
            </w:r>
            <w:r>
              <w:rPr>
                <w:rFonts w:hint="eastAsia"/>
              </w:rPr>
              <w:t>日进行了</w:t>
            </w:r>
            <w:r>
              <w:rPr>
                <w:rFonts w:hint="eastAsia"/>
                <w:u w:val="single"/>
              </w:rPr>
              <w:t xml:space="preserve">    食</w:t>
            </w:r>
            <w:r>
              <w:rPr>
                <w:u w:val="single"/>
              </w:rPr>
              <w:t>物中毒应急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10"/>
              </w:numPr>
              <w:rPr>
                <w:color w:val="020FBE"/>
                <w:lang w:val="en-GB"/>
              </w:rPr>
            </w:pPr>
            <w:r>
              <w:rPr>
                <w:rFonts w:hint="eastAsia"/>
                <w:color w:val="020FBE"/>
                <w:lang w:val="en-GB"/>
              </w:rPr>
              <w:t>水</w:t>
            </w:r>
          </w:p>
          <w:p>
            <w:pPr>
              <w:numPr>
                <w:ilvl w:val="0"/>
                <w:numId w:val="10"/>
              </w:numPr>
              <w:rPr>
                <w:color w:val="020FBE"/>
                <w:lang w:val="en-GB"/>
              </w:rPr>
            </w:pPr>
            <w:r>
              <w:rPr>
                <w:rFonts w:hint="eastAsia"/>
                <w:color w:val="020FBE"/>
                <w:lang w:val="en-GB"/>
              </w:rPr>
              <w:t>食用油</w:t>
            </w:r>
          </w:p>
          <w:p>
            <w:pPr>
              <w:numPr>
                <w:ilvl w:val="0"/>
                <w:numId w:val="10"/>
              </w:numPr>
              <w:rPr>
                <w:color w:val="020FBE"/>
                <w:lang w:val="en-GB"/>
              </w:rPr>
            </w:pPr>
            <w:r>
              <w:rPr>
                <w:rFonts w:hint="eastAsia"/>
                <w:color w:val="020FBE"/>
                <w:lang w:val="en-GB"/>
              </w:rPr>
              <w:t>蔬菜</w:t>
            </w:r>
          </w:p>
          <w:p>
            <w:pPr>
              <w:numPr>
                <w:ilvl w:val="0"/>
                <w:numId w:val="10"/>
              </w:numPr>
              <w:rPr>
                <w:color w:val="020FBE"/>
                <w:lang w:val="en-GB"/>
              </w:rPr>
            </w:pPr>
            <w:r>
              <w:rPr>
                <w:rFonts w:hint="eastAsia"/>
                <w:color w:val="020FBE"/>
                <w:lang w:val="en-US" w:eastAsia="zh-CN"/>
              </w:rPr>
              <w:t>畜</w:t>
            </w:r>
            <w:r>
              <w:rPr>
                <w:color w:val="020FBE"/>
                <w:lang w:val="en-GB"/>
              </w:rPr>
              <w:t>肉</w:t>
            </w:r>
            <w:r>
              <w:rPr>
                <w:rFonts w:hint="eastAsia"/>
                <w:color w:val="020FBE"/>
                <w:lang w:val="en-GB"/>
              </w:rPr>
              <w:t>（</w:t>
            </w:r>
            <w:r>
              <w:rPr>
                <w:rFonts w:hint="eastAsia"/>
                <w:color w:val="020FBE"/>
                <w:lang w:val="en-US" w:eastAsia="zh-CN"/>
              </w:rPr>
              <w:t>猪肉</w:t>
            </w:r>
            <w:r>
              <w:rPr>
                <w:color w:val="020FBE"/>
                <w:lang w:val="en-GB"/>
              </w:rPr>
              <w:t>）</w:t>
            </w:r>
          </w:p>
          <w:p>
            <w:pPr>
              <w:numPr>
                <w:ilvl w:val="0"/>
                <w:numId w:val="10"/>
              </w:numPr>
              <w:rPr>
                <w:color w:val="020FBE"/>
                <w:lang w:val="en-GB"/>
              </w:rPr>
            </w:pPr>
            <w:r>
              <w:rPr>
                <w:rFonts w:hint="eastAsia"/>
                <w:color w:val="020FBE"/>
                <w:lang w:val="en-GB"/>
              </w:rPr>
              <w:t>调味料</w:t>
            </w:r>
          </w:p>
          <w:p>
            <w:pPr>
              <w:numPr>
                <w:ilvl w:val="0"/>
                <w:numId w:val="10"/>
              </w:numPr>
            </w:pPr>
            <w:r>
              <w:rPr>
                <w:rFonts w:hint="eastAsia"/>
                <w:color w:val="020FBE"/>
                <w:lang w:val="en-GB"/>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10"/>
              </w:numPr>
            </w:pPr>
            <w:r>
              <w:rPr>
                <w:rFonts w:hint="eastAsia"/>
                <w:highlight w:val="none"/>
                <w:lang w:val="en-US" w:eastAsia="zh-CN"/>
              </w:rPr>
              <w:t>红烧牛肉</w:t>
            </w:r>
          </w:p>
          <w:p>
            <w:pPr>
              <w:numPr>
                <w:ilvl w:val="0"/>
                <w:numId w:val="10"/>
              </w:numPr>
            </w:pPr>
            <w:r>
              <w:rPr>
                <w:rFonts w:hint="eastAsia"/>
                <w:lang w:val="en-US" w:eastAsia="zh-CN"/>
              </w:rPr>
              <w:t>口蘑炒蛋</w:t>
            </w:r>
          </w:p>
          <w:p>
            <w:pPr>
              <w:numPr>
                <w:ilvl w:val="0"/>
                <w:numId w:val="10"/>
              </w:numPr>
            </w:pPr>
            <w:r>
              <w:rPr>
                <w:rFonts w:hint="eastAsia"/>
              </w:rPr>
              <w:t>米</w:t>
            </w:r>
            <w:r>
              <w:t>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直接食用（堂食或外卖）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1"/>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11"/>
              </w:numPr>
              <w:autoSpaceDE w:val="0"/>
              <w:autoSpaceDN w:val="0"/>
              <w:adjustRightInd w:val="0"/>
            </w:pPr>
            <w:r>
              <w:t>厂区平面图</w:t>
            </w:r>
          </w:p>
          <w:p>
            <w:pPr>
              <w:widowControl/>
              <w:numPr>
                <w:ilvl w:val="0"/>
                <w:numId w:val="11"/>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11"/>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11"/>
              </w:numPr>
              <w:autoSpaceDE w:val="0"/>
              <w:autoSpaceDN w:val="0"/>
              <w:adjustRightInd w:val="0"/>
              <w:rPr>
                <w:b/>
              </w:rPr>
            </w:pPr>
            <w:r>
              <w:t>防虫害分布图</w:t>
            </w:r>
          </w:p>
          <w:p>
            <w:pPr>
              <w:widowControl/>
              <w:numPr>
                <w:ilvl w:val="0"/>
                <w:numId w:val="11"/>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shd w:val="clear" w:color="auto" w:fill="F4B8FF"/>
            </w:pPr>
            <w:r>
              <w:rPr>
                <w:rFonts w:hint="eastAsia"/>
              </w:rPr>
              <w:t xml:space="preserve">化学危害：☑重金属 ☑农药残留  ☑兽药残留 ☑黄曲霉毒素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pPr>
              <w:shd w:val="clear" w:color="auto" w:fill="F4B8FF"/>
            </w:pPr>
            <w:r>
              <w:rPr>
                <w:rFonts w:hint="eastAsia"/>
              </w:rP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化学品（润滑油、清洁剂、消毒剂、杀虫剂）</w:t>
            </w:r>
          </w:p>
          <w:p>
            <w:pPr>
              <w:shd w:val="clear" w:color="auto" w:fill="F4B8FF"/>
              <w:ind w:firstLine="1050" w:firstLineChars="500"/>
            </w:pPr>
            <w:r>
              <w:rPr>
                <w:rFonts w:hint="eastAsia"/>
              </w:rPr>
              <w:sym w:font="Wingdings" w:char="00A8"/>
            </w:r>
            <w:r>
              <w:rPr>
                <w:rFonts w:hint="eastAsia"/>
                <w:bCs/>
                <w:lang w:val="en-GB"/>
              </w:rPr>
              <w:t>苯并芘</w:t>
            </w:r>
            <w:r>
              <w:rPr>
                <w:rFonts w:hint="eastAsia"/>
                <w:b/>
                <w:color w:val="0000FF"/>
              </w:rPr>
              <w:t xml:space="preserve"> </w:t>
            </w:r>
            <w:r>
              <w:rPr>
                <w:rFonts w:hint="eastAsia"/>
              </w:rPr>
              <w:sym w:font="Wingdings" w:char="00A8"/>
            </w:r>
            <w:r>
              <w:rPr>
                <w:rFonts w:hint="eastAsia"/>
              </w:rPr>
              <w:t xml:space="preserve">二氧化硫残留  </w:t>
            </w:r>
            <w:r>
              <w:rPr>
                <w:rFonts w:hint="eastAsia"/>
              </w:rPr>
              <w:sym w:font="Wingdings" w:char="00A8"/>
            </w:r>
            <w:r>
              <w:rPr>
                <w:rFonts w:hint="eastAsia"/>
              </w:rPr>
              <w:t xml:space="preserve">其他     </w:t>
            </w:r>
          </w:p>
          <w:p>
            <w:pPr>
              <w:shd w:val="clear" w:color="auto" w:fill="F4B8FF"/>
            </w:pPr>
            <w:r>
              <w:rPr>
                <w:rFonts w:hint="eastAsia"/>
              </w:rPr>
              <w:t xml:space="preserve">生物危害：☑大肠杆菌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pPr>
              <w:shd w:val="clear" w:color="auto" w:fill="F4B8FF"/>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w:t>
            </w:r>
          </w:p>
          <w:p>
            <w:pPr>
              <w:shd w:val="clear" w:color="auto" w:fill="F4B8FF"/>
            </w:pPr>
            <w:r>
              <w:rPr>
                <w:rFonts w:hint="eastAsia"/>
              </w:rPr>
              <w:t xml:space="preserve">物理危害：☑金属屑  ☑玻璃渣  ☑碎石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highlight w:val="yellow"/>
                      <w:lang w:val="en-US" w:eastAsia="zh-CN"/>
                    </w:rPr>
                  </w:pPr>
                  <w:r>
                    <w:rPr>
                      <w:rFonts w:hint="eastAsia"/>
                      <w:b/>
                      <w:color w:val="0000FF"/>
                      <w:highlight w:val="none"/>
                      <w:lang w:val="en-US" w:eastAsia="zh-CN"/>
                    </w:rPr>
                    <w:t>主食类</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pPr>
                    <w:rPr>
                      <w:bCs/>
                    </w:rPr>
                  </w:pPr>
                  <w:r>
                    <w:rPr>
                      <w:rFonts w:hint="eastAsia"/>
                      <w:bCs/>
                    </w:rPr>
                    <w:sym w:font="Wingdings" w:char="00FE"/>
                  </w:r>
                  <w:r>
                    <w:rPr>
                      <w:bCs/>
                    </w:rPr>
                    <w:t>OPRP</w:t>
                  </w:r>
                </w:p>
                <w:p>
                  <w:pPr>
                    <w:rPr>
                      <w:b/>
                      <w:color w:val="0000FF"/>
                      <w:highlight w:val="yellow"/>
                      <w:lang w:val="en-GB"/>
                    </w:rPr>
                  </w:pPr>
                  <w:r>
                    <w:rPr>
                      <w:rFonts w:hint="eastAsia"/>
                    </w:rPr>
                    <w:sym w:font="Wingdings" w:char="00FE"/>
                  </w:r>
                  <w:r>
                    <w:rPr>
                      <w:rFonts w:hint="eastAsia"/>
                      <w:bCs/>
                    </w:rPr>
                    <w:t>作业指导书&amp;</w:t>
                  </w:r>
                  <w:r>
                    <w:rPr>
                      <w:bCs/>
                    </w:rPr>
                    <w:t>SSOP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highlight w:val="yellow"/>
                      <w:lang w:val="en-GB" w:eastAsia="zh-CN"/>
                    </w:rPr>
                  </w:pPr>
                  <w:r>
                    <w:rPr>
                      <w:rFonts w:hint="eastAsia"/>
                      <w:b/>
                      <w:color w:val="0000FF"/>
                      <w:lang w:val="en-US" w:eastAsia="zh-CN"/>
                    </w:rPr>
                    <w:t>热菜类</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pPr>
                    <w:rPr>
                      <w:bCs/>
                    </w:rPr>
                  </w:pPr>
                  <w:r>
                    <w:rPr>
                      <w:rFonts w:hint="eastAsia"/>
                    </w:rPr>
                    <w:sym w:font="Wingdings" w:char="00FE"/>
                  </w:r>
                  <w:r>
                    <w:rPr>
                      <w:rFonts w:hint="eastAsia"/>
                      <w:bCs/>
                    </w:rPr>
                    <w:t>作业指导书&amp;</w:t>
                  </w:r>
                  <w:r>
                    <w:rPr>
                      <w:bCs/>
                    </w:rPr>
                    <w:t>SSOP</w:t>
                  </w:r>
                </w:p>
                <w:p>
                  <w:pPr>
                    <w:rPr>
                      <w:b/>
                      <w:color w:val="0000FF"/>
                      <w:highlight w:val="yellow"/>
                      <w:lang w:val="en-GB"/>
                    </w:rPr>
                  </w:pPr>
                  <w:r>
                    <w:rPr>
                      <w:rFonts w:hint="eastAsia"/>
                    </w:rPr>
                    <w:sym w:font="Wingdings" w:char="00FE"/>
                  </w:r>
                  <w:r>
                    <w:rPr>
                      <w:bCs/>
                    </w:rP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3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果蔬</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eastAsia"/>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酱油</w:t>
                  </w:r>
                </w:p>
              </w:tc>
              <w:tc>
                <w:tcPr>
                  <w:tcW w:w="353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53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洗洁精</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530"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pPr>
            <w:r>
              <w:rPr>
                <w:rFonts w:hint="eastAsia" w:ascii="宋体" w:hAnsi="宋体" w:cs="宋体"/>
              </w:rPr>
              <w:t>OPRP计划</w:t>
            </w:r>
          </w:p>
          <w:tbl>
            <w:tblPr>
              <w:tblStyle w:val="30"/>
              <w:tblW w:w="90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72"/>
              <w:gridCol w:w="1290"/>
              <w:gridCol w:w="2099"/>
              <w:gridCol w:w="1978"/>
              <w:gridCol w:w="191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872" w:type="dxa"/>
                  <w:shd w:val="clear" w:color="auto" w:fill="auto"/>
                </w:tcPr>
                <w:p>
                  <w:pPr>
                    <w:pStyle w:val="46"/>
                    <w:rPr>
                      <w:lang w:eastAsia="zh-CN"/>
                    </w:rPr>
                  </w:pPr>
                  <w:r>
                    <w:rPr>
                      <w:rFonts w:hint="eastAsia"/>
                      <w:lang w:eastAsia="zh-CN"/>
                    </w:rPr>
                    <w:t>序号</w:t>
                  </w:r>
                </w:p>
              </w:tc>
              <w:tc>
                <w:tcPr>
                  <w:tcW w:w="1290" w:type="dxa"/>
                  <w:shd w:val="clear" w:color="auto" w:fill="auto"/>
                </w:tcPr>
                <w:p>
                  <w:pPr>
                    <w:pStyle w:val="46"/>
                    <w:rPr>
                      <w:lang w:eastAsia="zh-CN"/>
                    </w:rPr>
                  </w:pPr>
                  <w:r>
                    <w:rPr>
                      <w:rFonts w:hint="eastAsia"/>
                      <w:lang w:eastAsia="zh-CN"/>
                    </w:rPr>
                    <w:t xml:space="preserve"> 过程步骤</w:t>
                  </w:r>
                </w:p>
              </w:tc>
              <w:tc>
                <w:tcPr>
                  <w:tcW w:w="2099" w:type="dxa"/>
                  <w:shd w:val="clear" w:color="auto" w:fill="auto"/>
                </w:tcPr>
                <w:p>
                  <w:pPr>
                    <w:pStyle w:val="46"/>
                    <w:rPr>
                      <w:lang w:eastAsia="zh-CN"/>
                    </w:rPr>
                  </w:pPr>
                  <w:r>
                    <w:rPr>
                      <w:rFonts w:hint="eastAsia"/>
                      <w:lang w:val="en-US" w:eastAsia="zh-CN"/>
                    </w:rPr>
                    <w:t>食品安全</w:t>
                  </w:r>
                  <w:r>
                    <w:rPr>
                      <w:rFonts w:hint="eastAsia"/>
                      <w:lang w:eastAsia="zh-CN"/>
                    </w:rPr>
                    <w:t>危害</w:t>
                  </w:r>
                </w:p>
              </w:tc>
              <w:tc>
                <w:tcPr>
                  <w:tcW w:w="1978" w:type="dxa"/>
                  <w:shd w:val="clear" w:color="auto" w:fill="auto"/>
                </w:tcPr>
                <w:p>
                  <w:pPr>
                    <w:pStyle w:val="46"/>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912" w:type="dxa"/>
                  <w:shd w:val="clear" w:color="auto" w:fill="auto"/>
                </w:tcPr>
                <w:p>
                  <w:pPr>
                    <w:pStyle w:val="46"/>
                    <w:rPr>
                      <w:lang w:eastAsia="zh-CN"/>
                    </w:rPr>
                  </w:pPr>
                  <w:r>
                    <w:rPr>
                      <w:rFonts w:hint="eastAsia"/>
                      <w:lang w:eastAsia="zh-CN"/>
                    </w:rPr>
                    <w:t>监控程序</w:t>
                  </w:r>
                </w:p>
              </w:tc>
              <w:tc>
                <w:tcPr>
                  <w:tcW w:w="905" w:type="dxa"/>
                  <w:shd w:val="clear" w:color="auto" w:fill="auto"/>
                </w:tcPr>
                <w:p>
                  <w:pPr>
                    <w:pStyle w:val="46"/>
                    <w:jc w:val="both"/>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7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b/>
                      <w:kern w:val="0"/>
                      <w:sz w:val="18"/>
                      <w:szCs w:val="18"/>
                    </w:rPr>
                    <w:t>OPRP</w:t>
                  </w:r>
                  <w:r>
                    <w:rPr>
                      <w:rFonts w:ascii="宋体" w:hAnsi="宋体" w:cs="宋体"/>
                      <w:b/>
                      <w:kern w:val="0"/>
                      <w:sz w:val="18"/>
                      <w:szCs w:val="18"/>
                    </w:rPr>
                    <w:t>1</w:t>
                  </w:r>
                </w:p>
              </w:tc>
              <w:tc>
                <w:tcPr>
                  <w:tcW w:w="129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 w:val="18"/>
                      <w:szCs w:val="18"/>
                    </w:rPr>
                  </w:pPr>
                  <w:r>
                    <w:rPr>
                      <w:rFonts w:hint="eastAsia" w:cs="宋体"/>
                      <w:b/>
                      <w:kern w:val="0"/>
                      <w:sz w:val="18"/>
                      <w:szCs w:val="18"/>
                    </w:rPr>
                    <w:t>原辅料验收</w:t>
                  </w:r>
                </w:p>
              </w:tc>
              <w:tc>
                <w:tcPr>
                  <w:tcW w:w="2099"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1.生物性危害：致病菌；2.化学性危害：兽、农药残留、抗生素、重金属污染等。</w:t>
                  </w:r>
                  <w:r>
                    <w:rPr>
                      <w:rFonts w:hint="eastAsia"/>
                      <w:sz w:val="18"/>
                      <w:szCs w:val="18"/>
                      <w:lang w:val="fr-FR"/>
                    </w:rPr>
                    <w:tab/>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jc w:val="left"/>
                    <w:rPr>
                      <w:b/>
                      <w:bCs/>
                      <w:sz w:val="18"/>
                      <w:szCs w:val="18"/>
                      <w:lang w:val="fr-FR"/>
                    </w:rPr>
                  </w:pPr>
                  <w:r>
                    <w:rPr>
                      <w:rFonts w:hint="eastAsia" w:ascii="宋体" w:hAnsi="宋体" w:cs="宋体"/>
                      <w:kern w:val="0"/>
                      <w:sz w:val="18"/>
                      <w:szCs w:val="18"/>
                    </w:rPr>
                    <w:t>合格证明及感官</w:t>
                  </w:r>
                </w:p>
              </w:tc>
              <w:tc>
                <w:tcPr>
                  <w:tcW w:w="1912"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1.验收员每批感官查看，查验证明；</w:t>
                  </w:r>
                </w:p>
                <w:p>
                  <w:pPr>
                    <w:jc w:val="left"/>
                    <w:rPr>
                      <w:sz w:val="18"/>
                      <w:szCs w:val="18"/>
                    </w:rPr>
                  </w:pPr>
                  <w:r>
                    <w:rPr>
                      <w:rFonts w:hint="eastAsia"/>
                      <w:sz w:val="18"/>
                      <w:szCs w:val="18"/>
                    </w:rPr>
                    <w:t>2.定期核查索证情况，每年索取外检报告</w:t>
                  </w:r>
                </w:p>
              </w:tc>
              <w:tc>
                <w:tcPr>
                  <w:tcW w:w="90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kern w:val="0"/>
                      <w:sz w:val="18"/>
                      <w:szCs w:val="18"/>
                      <w:lang w:eastAsia="zh-CN"/>
                    </w:rPr>
                  </w:pPr>
                  <w:r>
                    <w:rPr>
                      <w:rFonts w:hint="eastAsia" w:ascii="宋体" w:hAnsi="宋体" w:cs="宋体"/>
                      <w:b/>
                      <w:kern w:val="0"/>
                      <w:sz w:val="18"/>
                      <w:szCs w:val="18"/>
                    </w:rPr>
                    <w:t>O</w:t>
                  </w:r>
                  <w:r>
                    <w:rPr>
                      <w:rFonts w:ascii="宋体" w:hAnsi="宋体" w:cs="宋体"/>
                      <w:b/>
                      <w:kern w:val="0"/>
                      <w:sz w:val="18"/>
                      <w:szCs w:val="18"/>
                    </w:rPr>
                    <w:t>PRP</w:t>
                  </w:r>
                  <w:r>
                    <w:rPr>
                      <w:rFonts w:hint="eastAsia" w:ascii="宋体" w:hAnsi="宋体" w:cs="宋体"/>
                      <w:b/>
                      <w:kern w:val="0"/>
                      <w:sz w:val="18"/>
                      <w:szCs w:val="18"/>
                      <w:lang w:val="en-US" w:eastAsia="zh-CN"/>
                    </w:rPr>
                    <w:t>2</w:t>
                  </w:r>
                </w:p>
              </w:tc>
              <w:tc>
                <w:tcPr>
                  <w:tcW w:w="129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eastAsia" w:ascii="仿宋_GB2312" w:cs="宋体"/>
                      <w:b/>
                      <w:kern w:val="0"/>
                      <w:sz w:val="18"/>
                      <w:szCs w:val="18"/>
                    </w:rPr>
                  </w:pPr>
                  <w:r>
                    <w:rPr>
                      <w:rFonts w:hint="eastAsia" w:ascii="仿宋_GB2312" w:cs="宋体"/>
                      <w:b/>
                      <w:kern w:val="0"/>
                      <w:sz w:val="18"/>
                      <w:szCs w:val="18"/>
                    </w:rPr>
                    <w:t>餐具消毒</w:t>
                  </w:r>
                </w:p>
              </w:tc>
              <w:tc>
                <w:tcPr>
                  <w:tcW w:w="209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rPr>
                  </w:pPr>
                  <w:r>
                    <w:rPr>
                      <w:rFonts w:hint="eastAsia"/>
                      <w:sz w:val="18"/>
                      <w:szCs w:val="18"/>
                    </w:rPr>
                    <w:t>微生物、致病菌；洗涤剂残留</w:t>
                  </w:r>
                </w:p>
              </w:tc>
              <w:tc>
                <w:tcPr>
                  <w:tcW w:w="197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热风循环消毒</w:t>
                  </w:r>
                </w:p>
                <w:p>
                  <w:pPr>
                    <w:spacing w:line="280" w:lineRule="exact"/>
                    <w:jc w:val="left"/>
                    <w:rPr>
                      <w:rFonts w:hint="eastAsia"/>
                      <w:sz w:val="18"/>
                      <w:szCs w:val="18"/>
                    </w:rPr>
                  </w:pPr>
                  <w:r>
                    <w:rPr>
                      <w:rFonts w:hint="eastAsia" w:ascii="宋体" w:hAnsi="宋体" w:eastAsia="宋体" w:cs="宋体"/>
                      <w:sz w:val="21"/>
                      <w:szCs w:val="21"/>
                      <w:lang w:val="en-US" w:eastAsia="zh-CN"/>
                    </w:rPr>
                    <w:t>125℃/30min</w:t>
                  </w:r>
                </w:p>
              </w:tc>
              <w:tc>
                <w:tcPr>
                  <w:tcW w:w="1912"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每次观察测量</w:t>
                  </w:r>
                  <w:r>
                    <w:rPr>
                      <w:rFonts w:hint="eastAsia"/>
                      <w:sz w:val="18"/>
                      <w:szCs w:val="18"/>
                      <w:lang w:val="en-US" w:eastAsia="zh-CN"/>
                    </w:rPr>
                    <w:t>并记录</w:t>
                  </w:r>
                  <w:r>
                    <w:rPr>
                      <w:rFonts w:hint="eastAsia"/>
                      <w:sz w:val="18"/>
                      <w:szCs w:val="18"/>
                    </w:rPr>
                    <w:t>；</w:t>
                  </w:r>
                </w:p>
                <w:p>
                  <w:pPr>
                    <w:jc w:val="left"/>
                    <w:rPr>
                      <w:rFonts w:hint="eastAsia"/>
                      <w:sz w:val="18"/>
                      <w:szCs w:val="18"/>
                    </w:rPr>
                  </w:pPr>
                  <w:r>
                    <w:rPr>
                      <w:rFonts w:hint="eastAsia"/>
                      <w:sz w:val="18"/>
                      <w:szCs w:val="18"/>
                    </w:rPr>
                    <w:t>每年对餐具送检</w:t>
                  </w:r>
                </w:p>
              </w:tc>
              <w:tc>
                <w:tcPr>
                  <w:tcW w:w="90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sz w:val="18"/>
                      <w:szCs w:val="18"/>
                      <w:lang w:val="en-US" w:eastAsia="zh-CN"/>
                    </w:rPr>
                  </w:pPr>
                  <w:r>
                    <w:rPr>
                      <w:rFonts w:hint="eastAsia"/>
                      <w:bCs/>
                      <w:sz w:val="18"/>
                      <w:szCs w:val="18"/>
                      <w:lang w:val="en-US" w:eastAsia="zh-CN"/>
                    </w:rPr>
                    <w:t>1</w:t>
                  </w:r>
                </w:p>
              </w:tc>
            </w:tr>
          </w:tbl>
          <w:p>
            <w:pPr>
              <w:spacing w:before="240" w:after="120"/>
              <w:rPr>
                <w:rFonts w:ascii="宋体" w:hAnsi="宋体" w:cs="宋体"/>
                <w:lang w:val="en-GB"/>
              </w:rPr>
            </w:pPr>
          </w:p>
          <w:p>
            <w:pPr>
              <w:spacing w:before="240" w:after="120"/>
              <w:rPr>
                <w:lang w:val="en-GB"/>
              </w:rPr>
            </w:pPr>
            <w:r>
              <w:rPr>
                <w:rFonts w:hint="eastAsia" w:ascii="宋体" w:hAnsi="宋体" w:cs="宋体"/>
                <w:lang w:val="en-GB"/>
              </w:rPr>
              <w:t>HACCP计划1</w:t>
            </w:r>
          </w:p>
          <w:tbl>
            <w:tblPr>
              <w:tblStyle w:val="30"/>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52"/>
              <w:gridCol w:w="1044"/>
              <w:gridCol w:w="1993"/>
              <w:gridCol w:w="1571"/>
              <w:gridCol w:w="2182"/>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blHeader/>
              </w:trPr>
              <w:tc>
                <w:tcPr>
                  <w:tcW w:w="852" w:type="dxa"/>
                  <w:shd w:val="clear" w:color="auto" w:fill="auto"/>
                </w:tcPr>
                <w:p>
                  <w:pPr>
                    <w:pStyle w:val="46"/>
                    <w:rPr>
                      <w:lang w:eastAsia="zh-CN"/>
                    </w:rPr>
                  </w:pPr>
                  <w:r>
                    <w:rPr>
                      <w:rFonts w:hint="eastAsia"/>
                      <w:lang w:eastAsia="zh-CN"/>
                    </w:rPr>
                    <w:t xml:space="preserve"> </w:t>
                  </w:r>
                </w:p>
                <w:p>
                  <w:pPr>
                    <w:pStyle w:val="46"/>
                    <w:rPr>
                      <w:lang w:eastAsia="zh-CN"/>
                    </w:rPr>
                  </w:pPr>
                  <w:r>
                    <w:rPr>
                      <w:rFonts w:hint="eastAsia"/>
                      <w:lang w:eastAsia="zh-CN"/>
                    </w:rPr>
                    <w:t>序号</w:t>
                  </w:r>
                </w:p>
              </w:tc>
              <w:tc>
                <w:tcPr>
                  <w:tcW w:w="1044" w:type="dxa"/>
                  <w:shd w:val="clear" w:color="auto" w:fill="auto"/>
                </w:tcPr>
                <w:p>
                  <w:pPr>
                    <w:pStyle w:val="46"/>
                    <w:rPr>
                      <w:lang w:eastAsia="zh-CN"/>
                    </w:rPr>
                  </w:pPr>
                  <w:r>
                    <w:rPr>
                      <w:rFonts w:hint="eastAsia"/>
                      <w:lang w:eastAsia="zh-CN"/>
                    </w:rPr>
                    <w:t xml:space="preserve"> </w:t>
                  </w:r>
                </w:p>
                <w:p>
                  <w:pPr>
                    <w:pStyle w:val="46"/>
                    <w:rPr>
                      <w:lang w:eastAsia="zh-CN"/>
                    </w:rPr>
                  </w:pPr>
                  <w:r>
                    <w:rPr>
                      <w:rFonts w:hint="eastAsia"/>
                      <w:lang w:eastAsia="zh-CN"/>
                    </w:rPr>
                    <w:t>过程步骤</w:t>
                  </w:r>
                </w:p>
              </w:tc>
              <w:tc>
                <w:tcPr>
                  <w:tcW w:w="1993" w:type="dxa"/>
                  <w:shd w:val="clear" w:color="auto" w:fill="auto"/>
                </w:tcPr>
                <w:p>
                  <w:pPr>
                    <w:pStyle w:val="46"/>
                    <w:rPr>
                      <w:lang w:eastAsia="zh-CN"/>
                    </w:rPr>
                  </w:pPr>
                  <w:r>
                    <w:rPr>
                      <w:rFonts w:hint="eastAsia"/>
                      <w:lang w:eastAsia="zh-CN"/>
                    </w:rPr>
                    <w:t xml:space="preserve"> </w:t>
                  </w:r>
                </w:p>
                <w:p>
                  <w:pPr>
                    <w:pStyle w:val="46"/>
                    <w:rPr>
                      <w:lang w:eastAsia="zh-CN"/>
                    </w:rPr>
                  </w:pPr>
                  <w:r>
                    <w:rPr>
                      <w:rFonts w:hint="eastAsia"/>
                      <w:lang w:val="en-US" w:eastAsia="zh-CN"/>
                    </w:rPr>
                    <w:t>食品安全</w:t>
                  </w:r>
                  <w:r>
                    <w:rPr>
                      <w:rFonts w:hint="eastAsia"/>
                      <w:lang w:eastAsia="zh-CN"/>
                    </w:rPr>
                    <w:t>危害</w:t>
                  </w:r>
                </w:p>
              </w:tc>
              <w:tc>
                <w:tcPr>
                  <w:tcW w:w="1571" w:type="dxa"/>
                  <w:shd w:val="clear" w:color="auto" w:fill="auto"/>
                </w:tcPr>
                <w:p>
                  <w:pPr>
                    <w:pStyle w:val="46"/>
                    <w:rPr>
                      <w:lang w:val="fr-FR" w:eastAsia="zh-CN"/>
                    </w:rPr>
                  </w:pPr>
                  <w:r>
                    <w:rPr>
                      <w:rFonts w:hint="eastAsia"/>
                      <w:lang w:val="fr-FR" w:eastAsia="zh-CN"/>
                    </w:rPr>
                    <w:t xml:space="preserve"> </w:t>
                  </w:r>
                </w:p>
                <w:p>
                  <w:pPr>
                    <w:pStyle w:val="46"/>
                    <w:rPr>
                      <w:lang w:val="fr-FR" w:eastAsia="zh-CN"/>
                    </w:rPr>
                  </w:pPr>
                  <w:r>
                    <w:rPr>
                      <w:rFonts w:hint="eastAsia"/>
                      <w:lang w:val="fr-FR" w:eastAsia="zh-CN"/>
                    </w:rPr>
                    <w:t>关键限值</w:t>
                  </w:r>
                </w:p>
              </w:tc>
              <w:tc>
                <w:tcPr>
                  <w:tcW w:w="2182" w:type="dxa"/>
                  <w:shd w:val="clear" w:color="auto" w:fill="auto"/>
                </w:tcPr>
                <w:p>
                  <w:pPr>
                    <w:pStyle w:val="46"/>
                    <w:rPr>
                      <w:lang w:eastAsia="zh-CN"/>
                    </w:rPr>
                  </w:pPr>
                  <w:r>
                    <w:rPr>
                      <w:rFonts w:hint="eastAsia"/>
                      <w:lang w:eastAsia="zh-CN"/>
                    </w:rPr>
                    <w:t xml:space="preserve"> </w:t>
                  </w:r>
                </w:p>
                <w:p>
                  <w:pPr>
                    <w:pStyle w:val="46"/>
                    <w:rPr>
                      <w:lang w:val="fr-FR" w:eastAsia="zh-CN"/>
                    </w:rPr>
                  </w:pPr>
                  <w:r>
                    <w:rPr>
                      <w:rFonts w:hint="eastAsia"/>
                      <w:lang w:eastAsia="zh-CN"/>
                    </w:rPr>
                    <w:t>监控程序</w:t>
                  </w:r>
                </w:p>
              </w:tc>
              <w:tc>
                <w:tcPr>
                  <w:tcW w:w="1295" w:type="dxa"/>
                  <w:shd w:val="clear" w:color="auto" w:fill="auto"/>
                </w:tcPr>
                <w:p>
                  <w:pPr>
                    <w:pStyle w:val="46"/>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8"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1044"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cs="宋体"/>
                      <w:kern w:val="0"/>
                      <w:szCs w:val="22"/>
                    </w:rPr>
                    <w:t>烹饪</w:t>
                  </w:r>
                </w:p>
              </w:tc>
              <w:tc>
                <w:tcPr>
                  <w:tcW w:w="199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w:t>
                  </w:r>
                </w:p>
                <w:p>
                  <w:pPr>
                    <w:jc w:val="left"/>
                    <w:rPr>
                      <w:lang w:val="fr-FR"/>
                    </w:rPr>
                  </w:pPr>
                  <w:r>
                    <w:rPr>
                      <w:rFonts w:hint="eastAsia"/>
                      <w:lang w:val="fr-FR"/>
                    </w:rPr>
                    <w:t>微生物污染、致病菌超标</w:t>
                  </w:r>
                </w:p>
              </w:tc>
              <w:tc>
                <w:tcPr>
                  <w:tcW w:w="1571"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ascii="宋体" w:hAnsi="宋体" w:cs="宋体"/>
                      <w:kern w:val="0"/>
                      <w:szCs w:val="22"/>
                    </w:rPr>
                    <w:t>中心温度≥</w:t>
                  </w:r>
                  <w:r>
                    <w:rPr>
                      <w:rFonts w:ascii="宋体" w:hAnsi="宋体" w:cs="宋体"/>
                      <w:kern w:val="0"/>
                      <w:szCs w:val="22"/>
                    </w:rPr>
                    <w:t>7</w:t>
                  </w:r>
                  <w:r>
                    <w:rPr>
                      <w:rFonts w:hint="eastAsia" w:ascii="宋体" w:hAnsi="宋体" w:cs="宋体"/>
                      <w:kern w:val="0"/>
                      <w:szCs w:val="22"/>
                    </w:rPr>
                    <w:t>5</w:t>
                  </w:r>
                  <w:r>
                    <w:rPr>
                      <w:kern w:val="0"/>
                      <w:szCs w:val="22"/>
                      <w:vertAlign w:val="superscript"/>
                    </w:rPr>
                    <w:t>0</w:t>
                  </w:r>
                  <w:r>
                    <w:rPr>
                      <w:kern w:val="0"/>
                      <w:szCs w:val="22"/>
                    </w:rPr>
                    <w:t>C</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cs="宋体"/>
                      <w:kern w:val="0"/>
                      <w:szCs w:val="22"/>
                    </w:rPr>
                    <w:t>在出锅时测量；</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8"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2</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fr-FR" w:eastAsia="zh-CN" w:bidi="ar-SA"/>
                    </w:rPr>
                  </w:pPr>
                  <w:r>
                    <w:rPr>
                      <w:rFonts w:hint="eastAsia" w:cs="宋体"/>
                      <w:kern w:val="0"/>
                      <w:szCs w:val="22"/>
                    </w:rPr>
                    <w:t>配料</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Cs w:val="22"/>
                    </w:rPr>
                  </w:pPr>
                  <w:r>
                    <w:rPr>
                      <w:rFonts w:hint="eastAsia" w:cs="宋体"/>
                      <w:kern w:val="0"/>
                      <w:szCs w:val="22"/>
                    </w:rPr>
                    <w:t>化学性危害：</w:t>
                  </w:r>
                </w:p>
                <w:p>
                  <w:pPr>
                    <w:jc w:val="left"/>
                    <w:rPr>
                      <w:rFonts w:ascii="Times New Roman" w:hAnsi="Times New Roman" w:eastAsia="宋体" w:cs="Times New Roman"/>
                      <w:kern w:val="2"/>
                      <w:sz w:val="21"/>
                      <w:lang w:val="fr-FR" w:eastAsia="zh-CN" w:bidi="ar-SA"/>
                    </w:rPr>
                  </w:pPr>
                  <w:r>
                    <w:rPr>
                      <w:rFonts w:hint="eastAsia"/>
                      <w:lang w:val="fr-FR"/>
                    </w:rPr>
                    <w:t>添加剂超标</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fr-FR" w:eastAsia="zh-CN" w:bidi="ar-SA"/>
                    </w:rPr>
                  </w:pPr>
                  <w:r>
                    <w:rPr>
                      <w:rFonts w:hint="eastAsia"/>
                      <w:lang w:val="en-US" w:eastAsia="zh-CN"/>
                    </w:rPr>
                    <w:t>复核膨松剂（双效</w:t>
                  </w:r>
                  <w:r>
                    <w:rPr>
                      <w:rFonts w:hint="eastAsia"/>
                      <w:lang w:val="fr-FR"/>
                    </w:rPr>
                    <w:t>泡打粉</w:t>
                  </w:r>
                  <w:r>
                    <w:rPr>
                      <w:rFonts w:hint="eastAsia"/>
                      <w:lang w:val="en-US" w:eastAsia="zh-CN"/>
                    </w:rPr>
                    <w:t>）</w:t>
                  </w:r>
                  <w:r>
                    <w:rPr>
                      <w:rFonts w:hint="eastAsia"/>
                      <w:lang w:val="fr-FR"/>
                    </w:rPr>
                    <w:t>≤</w:t>
                  </w:r>
                  <w:r>
                    <w:rPr>
                      <w:rFonts w:hint="eastAsia"/>
                      <w:lang w:val="en-US" w:eastAsia="zh-CN"/>
                    </w:rPr>
                    <w:t>12.5</w:t>
                  </w:r>
                  <w:r>
                    <w:rPr>
                      <w:rFonts w:hint="eastAsia"/>
                      <w:lang w:val="fr-FR"/>
                    </w:rPr>
                    <w:t>g/kg</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en-US" w:eastAsia="zh-CN" w:bidi="ar-SA"/>
                    </w:rPr>
                  </w:pPr>
                  <w:r>
                    <w:rPr>
                      <w:rFonts w:hint="eastAsia" w:cs="宋体"/>
                      <w:kern w:val="0"/>
                      <w:szCs w:val="22"/>
                    </w:rPr>
                    <w:t>每次添加时计量添加剂的量；</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1</w:t>
                  </w:r>
                </w:p>
              </w:tc>
            </w:tr>
          </w:tbl>
          <w:p>
            <w:pPr>
              <w:shd w:val="clear" w:color="auto" w:fill="F4B8FF"/>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rPr>
                <w:u w:val="single"/>
              </w:rPr>
            </w:pPr>
            <w:r>
              <w:rPr>
                <w:rFonts w:hint="eastAsia"/>
              </w:rPr>
              <w:t>国家强检的计量器具有：</w:t>
            </w:r>
            <w:r>
              <w:rPr>
                <w:rFonts w:hint="eastAsia"/>
                <w:u w:val="single"/>
              </w:rPr>
              <w:t xml:space="preserve">  笔</w:t>
            </w:r>
            <w:r>
              <w:rPr>
                <w:u w:val="single"/>
              </w:rPr>
              <w:t>式温度针</w:t>
            </w:r>
            <w:r>
              <w:rPr>
                <w:rFonts w:hint="eastAsia"/>
                <w:u w:val="single"/>
                <w:lang w:eastAsia="zh-CN"/>
              </w:rPr>
              <w:t>、</w:t>
            </w:r>
            <w:r>
              <w:rPr>
                <w:rFonts w:hint="eastAsia"/>
                <w:u w:val="single"/>
                <w:lang w:val="en-US" w:eastAsia="zh-CN"/>
              </w:rPr>
              <w:t>电子秤</w:t>
            </w:r>
            <w:r>
              <w:rPr>
                <w:rFonts w:hint="eastAsia"/>
                <w:u w:val="single"/>
              </w:rPr>
              <w:t xml:space="preserve">                  （列举1~4种）</w:t>
            </w:r>
          </w:p>
          <w:p>
            <w:pPr>
              <w:shd w:val="clear" w:color="auto" w:fill="F4B8FF"/>
              <w:rPr>
                <w:highlight w:val="none"/>
              </w:rPr>
            </w:pPr>
            <w:r>
              <w:rPr>
                <w:rFonts w:hint="eastAsia"/>
              </w:rPr>
              <w:t>计量器具管理：</w:t>
            </w:r>
            <w:r>
              <w:rPr>
                <w:rFonts w:hint="eastAsia"/>
                <w:lang w:eastAsia="zh-CN"/>
              </w:rPr>
              <w:t>□</w:t>
            </w:r>
            <w:r>
              <w:rPr>
                <w:rFonts w:hint="eastAsia"/>
              </w:rPr>
              <w:t xml:space="preserve">进行了定期校准/检定 </w:t>
            </w:r>
            <w:r>
              <w:rPr>
                <w:rFonts w:hint="eastAsia"/>
                <w:color w:val="FF0000"/>
                <w:highlight w:val="none"/>
              </w:rPr>
              <w:t xml:space="preserve"> </w:t>
            </w:r>
            <w:r>
              <w:rPr>
                <w:rFonts w:hint="eastAsia"/>
                <w:color w:val="FF0000"/>
                <w:highlight w:val="none"/>
              </w:rPr>
              <w:sym w:font="Wingdings" w:char="00FE"/>
            </w:r>
            <w:r>
              <w:rPr>
                <w:rFonts w:hint="eastAsia"/>
                <w:color w:val="FF0000"/>
                <w:highlight w:val="none"/>
              </w:rPr>
              <w:t xml:space="preserve">未进行定期校准/检定的有： </w:t>
            </w:r>
            <w:r>
              <w:rPr>
                <w:rFonts w:hint="eastAsia"/>
                <w:color w:val="FF0000"/>
                <w:highlight w:val="none"/>
                <w:u w:val="single"/>
              </w:rPr>
              <w:t xml:space="preserve">    </w:t>
            </w:r>
            <w:r>
              <w:rPr>
                <w:rFonts w:hint="eastAsia"/>
                <w:color w:val="FF0000"/>
                <w:highlight w:val="none"/>
                <w:u w:val="single"/>
                <w:lang w:val="en-US" w:eastAsia="zh-CN"/>
              </w:rPr>
              <w:t>笔试温度计</w:t>
            </w:r>
            <w:r>
              <w:rPr>
                <w:rFonts w:hint="eastAsia"/>
                <w:color w:val="FF0000"/>
                <w:highlight w:val="none"/>
                <w:u w:val="single"/>
              </w:rPr>
              <w:t xml:space="preserve">  </w:t>
            </w:r>
            <w:r>
              <w:rPr>
                <w:rFonts w:hint="eastAsia"/>
                <w:color w:val="FF0000"/>
                <w:highlight w:val="none"/>
                <w:u w:val="single"/>
                <w:lang w:eastAsia="zh-CN"/>
              </w:rPr>
              <w:t>，</w:t>
            </w:r>
            <w:r>
              <w:rPr>
                <w:rFonts w:hint="eastAsia"/>
                <w:color w:val="FF0000"/>
                <w:highlight w:val="none"/>
                <w:u w:val="single"/>
                <w:lang w:val="en-US" w:eastAsia="zh-CN"/>
              </w:rPr>
              <w:t>见不符合报告03</w:t>
            </w:r>
            <w:r>
              <w:rPr>
                <w:rFonts w:hint="eastAsia"/>
                <w:color w:val="FF0000"/>
                <w:highlight w:val="none"/>
                <w:u w:val="single"/>
              </w:rPr>
              <w:t xml:space="preserve">     </w:t>
            </w:r>
            <w:r>
              <w:rPr>
                <w:rFonts w:hint="eastAsia"/>
                <w:highlight w:val="none"/>
                <w:u w:val="single"/>
              </w:rPr>
              <w:t xml:space="preserve"> </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2"/>
              </w:numPr>
              <w:spacing w:before="40" w:after="40"/>
              <w:rPr>
                <w:szCs w:val="21"/>
              </w:rPr>
            </w:pPr>
            <w:r>
              <w:rPr>
                <w:szCs w:val="21"/>
              </w:rPr>
              <w:t>启动和实施产品召回计划人员的职责和权限</w:t>
            </w:r>
          </w:p>
          <w:p>
            <w:pPr>
              <w:widowControl/>
              <w:numPr>
                <w:ilvl w:val="0"/>
                <w:numId w:val="12"/>
              </w:numPr>
              <w:spacing w:before="40" w:after="40"/>
              <w:rPr>
                <w:szCs w:val="21"/>
              </w:rPr>
            </w:pPr>
            <w:r>
              <w:rPr>
                <w:szCs w:val="21"/>
              </w:rPr>
              <w:t>产品召回行动需符合的相关法律、法规和其他相关要求</w:t>
            </w:r>
          </w:p>
          <w:p>
            <w:pPr>
              <w:widowControl/>
              <w:numPr>
                <w:ilvl w:val="0"/>
                <w:numId w:val="12"/>
              </w:numPr>
              <w:spacing w:before="40" w:after="40"/>
              <w:rPr>
                <w:szCs w:val="21"/>
              </w:rPr>
            </w:pPr>
            <w:r>
              <w:rPr>
                <w:szCs w:val="21"/>
              </w:rPr>
              <w:t>制定并实施受安全危害影响产品的召回措施</w:t>
            </w:r>
          </w:p>
          <w:p>
            <w:pPr>
              <w:widowControl/>
              <w:numPr>
                <w:ilvl w:val="0"/>
                <w:numId w:val="12"/>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20</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9</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20</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红烧牛肉</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020.09.20</w:t>
            </w:r>
            <w:r>
              <w:rPr>
                <w:rFonts w:hint="default" w:ascii="Times New Roman" w:hAnsi="Times New Roman" w:cs="Times New Roman"/>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3"/>
              </w:numPr>
              <w:shd w:val="clear" w:color="auto" w:fill="F4B8FF"/>
            </w:pPr>
            <w:r>
              <w:rPr>
                <w:rFonts w:hint="eastAsia"/>
              </w:rPr>
              <w:t>PRP和危害控制计划</w:t>
            </w:r>
          </w:p>
          <w:p>
            <w:pPr>
              <w:numPr>
                <w:ilvl w:val="0"/>
                <w:numId w:val="13"/>
              </w:numPr>
              <w:shd w:val="clear" w:color="auto" w:fill="F4B8FF"/>
            </w:pPr>
            <w:r>
              <w:rPr>
                <w:rFonts w:hint="eastAsia"/>
              </w:rPr>
              <w:t>内部审核的结果</w:t>
            </w:r>
          </w:p>
          <w:p>
            <w:pPr>
              <w:numPr>
                <w:ilvl w:val="0"/>
                <w:numId w:val="13"/>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28-29</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2020</w:t>
            </w:r>
            <w:r>
              <w:rPr>
                <w:rFonts w:hint="eastAsia"/>
                <w:u w:val="single"/>
              </w:rPr>
              <w:t xml:space="preserve">   </w:t>
            </w:r>
            <w:r>
              <w:rPr>
                <w:rFonts w:hint="eastAsia"/>
              </w:rPr>
              <w:t>年</w:t>
            </w:r>
            <w:r>
              <w:rPr>
                <w:rFonts w:hint="eastAsia"/>
                <w:u w:val="single"/>
              </w:rPr>
              <w:t xml:space="preserve"> </w:t>
            </w:r>
            <w:r>
              <w:rPr>
                <w:u w:val="single"/>
              </w:rPr>
              <w:t>0</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30"/>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highlight w:val="none"/>
                <w:lang w:eastAsia="ja-JP"/>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eastAsia" w:eastAsia="宋体"/>
                <w:highlight w:val="none"/>
                <w:lang w:eastAsia="zh-CN"/>
              </w:rPr>
            </w:pPr>
            <w:r>
              <w:rPr>
                <w:rFonts w:hint="eastAsia"/>
                <w:highlight w:val="none"/>
              </w:rPr>
              <w:t>0</w:t>
            </w:r>
            <w:r>
              <w:rPr>
                <w:rFonts w:hint="eastAsia"/>
                <w:highlight w:val="none"/>
                <w:lang w:val="en-US" w:eastAsia="zh-CN"/>
              </w:rPr>
              <w:t>3</w:t>
            </w:r>
          </w:p>
        </w:tc>
        <w:tc>
          <w:tcPr>
            <w:tcW w:w="627" w:type="dxa"/>
            <w:tcBorders>
              <w:bottom w:val="single" w:color="auto" w:sz="4" w:space="0"/>
            </w:tcBorders>
            <w:vAlign w:val="center"/>
          </w:tcPr>
          <w:p>
            <w:pPr>
              <w:shd w:val="clear" w:color="auto" w:fill="F4B8FF"/>
              <w:rPr>
                <w:highlight w:val="none"/>
                <w:lang w:eastAsia="ja-JP"/>
              </w:rPr>
            </w:pP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shd w:val="clear" w:color="auto" w:fill="F4B8FF"/>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3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0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2"/>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42"/>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 xml:space="preserve"> 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13"/>
              </w:numPr>
              <w:ind w:left="420" w:leftChars="0" w:hanging="420" w:firstLineChars="0"/>
              <w:rPr>
                <w:rFonts w:hint="default" w:eastAsia="宋体"/>
                <w:color w:val="0000FF"/>
                <w:lang w:val="en-US" w:eastAsia="zh-CN"/>
              </w:rPr>
            </w:pPr>
            <w:r>
              <w:rPr>
                <w:rFonts w:hint="eastAsia"/>
                <w:color w:val="0000FF"/>
                <w:lang w:val="en-US" w:eastAsia="zh-CN"/>
              </w:rPr>
              <w:t>虫鼠害控制</w:t>
            </w:r>
          </w:p>
          <w:p>
            <w:pPr>
              <w:numPr>
                <w:ilvl w:val="0"/>
                <w:numId w:val="13"/>
              </w:numPr>
              <w:ind w:left="420" w:leftChars="0" w:hanging="420" w:firstLineChars="0"/>
              <w:rPr>
                <w:rFonts w:hint="default" w:eastAsia="宋体"/>
                <w:color w:val="0000FF"/>
                <w:lang w:val="en-US" w:eastAsia="zh-CN"/>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91"/>
              <w:gridCol w:w="1382"/>
              <w:gridCol w:w="310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食品安全目标</w:t>
                  </w:r>
                </w:p>
              </w:tc>
              <w:tc>
                <w:tcPr>
                  <w:tcW w:w="1382"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计算方法</w:t>
                  </w:r>
                </w:p>
              </w:tc>
              <w:tc>
                <w:tcPr>
                  <w:tcW w:w="3104"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责任部门</w:t>
                  </w:r>
                </w:p>
              </w:tc>
              <w:tc>
                <w:tcPr>
                  <w:tcW w:w="1774" w:type="dxa"/>
                  <w:shd w:val="clear" w:color="auto" w:fill="auto"/>
                </w:tcPr>
                <w:p>
                  <w:pPr>
                    <w:widowControl/>
                    <w:spacing w:before="40"/>
                    <w:jc w:val="left"/>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目标实际完成（审核周期）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食品安全事故为零</w:t>
                  </w:r>
                </w:p>
              </w:tc>
              <w:tc>
                <w:tcPr>
                  <w:tcW w:w="1382" w:type="dxa"/>
                  <w:shd w:val="clear" w:color="auto" w:fill="auto"/>
                  <w:vAlign w:val="top"/>
                </w:tcPr>
                <w:p>
                  <w:pPr>
                    <w:widowControl/>
                    <w:spacing w:before="40"/>
                    <w:jc w:val="left"/>
                    <w:rPr>
                      <w:rFonts w:hint="eastAsia" w:ascii="Times New Roman" w:hAnsi="Times New Roman" w:cs="Times New Roman"/>
                      <w:color w:val="000000"/>
                      <w:szCs w:val="21"/>
                      <w:highlight w:val="none"/>
                      <w:lang w:val="en-GB" w:eastAsia="zh-CN"/>
                    </w:rPr>
                  </w:pPr>
                  <w:r>
                    <w:rPr>
                      <w:rFonts w:hint="eastAsia" w:ascii="Times New Roman" w:hAnsi="Times New Roman" w:cs="Times New Roman"/>
                      <w:color w:val="000000"/>
                      <w:szCs w:val="21"/>
                      <w:highlight w:val="none"/>
                      <w:lang w:val="en-US" w:eastAsia="zh-CN"/>
                    </w:rPr>
                    <w:t>每年</w:t>
                  </w:r>
                </w:p>
              </w:tc>
              <w:tc>
                <w:tcPr>
                  <w:tcW w:w="3104" w:type="dxa"/>
                  <w:shd w:val="clear" w:color="auto" w:fill="auto"/>
                  <w:vAlign w:val="top"/>
                </w:tcPr>
                <w:p>
                  <w:pPr>
                    <w:widowControl/>
                    <w:spacing w:before="40"/>
                    <w:jc w:val="left"/>
                    <w:rPr>
                      <w:rFonts w:hint="eastAsia" w:ascii="Times New Roman" w:hAnsi="Times New Roman" w:cs="Times New Roman"/>
                      <w:color w:val="000000"/>
                      <w:szCs w:val="21"/>
                      <w:highlight w:val="none"/>
                      <w:lang w:val="en-GB" w:eastAsia="zh-CN"/>
                    </w:rPr>
                  </w:pPr>
                  <w:r>
                    <w:rPr>
                      <w:rFonts w:hint="eastAsia" w:ascii="Times New Roman" w:hAnsi="Times New Roman" w:cs="Times New Roman"/>
                      <w:color w:val="000000"/>
                      <w:szCs w:val="21"/>
                      <w:highlight w:val="none"/>
                      <w:lang w:val="en-US" w:eastAsia="zh-CN"/>
                    </w:rPr>
                    <w:t>按实际发生次数</w:t>
                  </w:r>
                </w:p>
              </w:tc>
              <w:tc>
                <w:tcPr>
                  <w:tcW w:w="1774" w:type="dxa"/>
                  <w:shd w:val="clear" w:color="auto" w:fill="auto"/>
                </w:tcPr>
                <w:p>
                  <w:pPr>
                    <w:widowControl/>
                    <w:spacing w:before="40"/>
                    <w:jc w:val="left"/>
                    <w:rPr>
                      <w:rFonts w:hint="eastAsia" w:ascii="Times New Roman" w:hAnsi="Times New Roman" w:cs="Times New Roman"/>
                      <w:color w:val="000000"/>
                      <w:szCs w:val="21"/>
                      <w:highlight w:val="none"/>
                      <w:lang w:val="en-GB" w:eastAsia="zh-CN"/>
                    </w:rPr>
                  </w:pPr>
                  <w:r>
                    <w:rPr>
                      <w:rFonts w:hint="eastAsia" w:ascii="Times New Roman" w:hAnsi="Times New Roman" w:cs="Times New Roman"/>
                      <w:color w:val="000000"/>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CCP 的偏离次数每年不超过 3 次</w:t>
                  </w:r>
                </w:p>
              </w:tc>
              <w:tc>
                <w:tcPr>
                  <w:tcW w:w="1382"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每年</w:t>
                  </w:r>
                </w:p>
              </w:tc>
              <w:tc>
                <w:tcPr>
                  <w:tcW w:w="3104"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按实际发生次数</w:t>
                  </w:r>
                </w:p>
              </w:tc>
              <w:tc>
                <w:tcPr>
                  <w:tcW w:w="1774"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食品接触的人、原料、设备 100%安全</w:t>
                  </w:r>
                </w:p>
              </w:tc>
              <w:tc>
                <w:tcPr>
                  <w:tcW w:w="1382"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每季度</w:t>
                  </w:r>
                </w:p>
              </w:tc>
              <w:tc>
                <w:tcPr>
                  <w:tcW w:w="3104" w:type="dxa"/>
                  <w:shd w:val="clear" w:color="auto" w:fill="auto"/>
                  <w:vAlign w:val="top"/>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采购原料100%索证、100%从合格供方购入</w:t>
                  </w:r>
                </w:p>
              </w:tc>
              <w:tc>
                <w:tcPr>
                  <w:tcW w:w="1774"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p>
              </w:tc>
              <w:tc>
                <w:tcPr>
                  <w:tcW w:w="1382"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p>
              </w:tc>
              <w:tc>
                <w:tcPr>
                  <w:tcW w:w="3104"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p>
              </w:tc>
              <w:tc>
                <w:tcPr>
                  <w:tcW w:w="1774"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rFonts w:hint="eastAsia" w:ascii="Times New Roman" w:hAnsi="Times New Roman" w:cs="Times New Roman"/>
                      <w:color w:val="000000"/>
                      <w:szCs w:val="21"/>
                      <w:highlight w:val="none"/>
                      <w:lang w:val="en-US" w:eastAsia="zh-CN"/>
                    </w:rPr>
                  </w:pPr>
                </w:p>
              </w:tc>
              <w:tc>
                <w:tcPr>
                  <w:tcW w:w="1382" w:type="dxa"/>
                  <w:shd w:val="clear" w:color="auto" w:fill="auto"/>
                  <w:vAlign w:val="center"/>
                </w:tcPr>
                <w:p>
                  <w:pPr>
                    <w:widowControl/>
                    <w:spacing w:before="40"/>
                    <w:jc w:val="left"/>
                    <w:rPr>
                      <w:rFonts w:hint="eastAsia" w:ascii="Times New Roman" w:hAnsi="Times New Roman" w:cs="Times New Roman"/>
                      <w:color w:val="000000"/>
                      <w:szCs w:val="21"/>
                      <w:highlight w:val="none"/>
                      <w:lang w:val="en-US" w:eastAsia="zh-CN"/>
                    </w:rPr>
                  </w:pPr>
                </w:p>
              </w:tc>
              <w:tc>
                <w:tcPr>
                  <w:tcW w:w="3104" w:type="dxa"/>
                  <w:shd w:val="clear" w:color="auto" w:fill="auto"/>
                  <w:vAlign w:val="center"/>
                </w:tcPr>
                <w:p>
                  <w:pPr>
                    <w:widowControl/>
                    <w:spacing w:before="40"/>
                    <w:jc w:val="left"/>
                    <w:rPr>
                      <w:rFonts w:hint="eastAsia" w:ascii="Times New Roman" w:hAnsi="Times New Roman" w:cs="Times New Roman"/>
                      <w:color w:val="000000"/>
                      <w:szCs w:val="21"/>
                      <w:highlight w:val="none"/>
                      <w:lang w:val="en-US" w:eastAsia="zh-CN"/>
                    </w:rPr>
                  </w:pPr>
                </w:p>
              </w:tc>
              <w:tc>
                <w:tcPr>
                  <w:tcW w:w="1774" w:type="dxa"/>
                  <w:shd w:val="clear" w:color="auto" w:fill="auto"/>
                  <w:vAlign w:val="center"/>
                </w:tcPr>
                <w:p>
                  <w:pPr>
                    <w:widowControl/>
                    <w:spacing w:before="40"/>
                    <w:jc w:val="left"/>
                    <w:rPr>
                      <w:rFonts w:hint="eastAsia" w:ascii="Times New Roman" w:hAnsi="Times New Roman" w:cs="Times New Roman"/>
                      <w:color w:val="000000"/>
                      <w:szCs w:val="21"/>
                      <w:highlight w:val="none"/>
                      <w:lang w:val="en-US" w:eastAsia="zh-CN"/>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w:t>
            </w:r>
            <w:r>
              <w:rPr>
                <w:rFonts w:hint="eastAsia"/>
                <w:u w:val="single"/>
                <w:lang w:val="en-US" w:eastAsia="zh-CN"/>
              </w:rPr>
              <w:t xml:space="preserve">NJZJ-OP-01-2020 </w:t>
            </w:r>
            <w:r>
              <w:rPr>
                <w:rFonts w:hint="eastAsia"/>
                <w:u w:val="single"/>
              </w:rPr>
              <w:t>）</w:t>
            </w:r>
            <w:r>
              <w:rPr>
                <w:u w:val="single"/>
              </w:rPr>
              <w:t>_</w:t>
            </w:r>
            <w:r>
              <w:rPr>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w:t>
            </w:r>
            <w:r>
              <w:rPr>
                <w:rFonts w:hint="eastAsia"/>
                <w:u w:val="single"/>
                <w:lang w:val="en-US" w:eastAsia="zh-CN"/>
              </w:rPr>
              <w:t xml:space="preserve">NJZJ-OP-02-2020 </w:t>
            </w:r>
            <w:r>
              <w:rPr>
                <w:rFonts w:hint="eastAsia"/>
                <w:u w:val="single"/>
              </w:rPr>
              <w:t>）</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w:t>
            </w:r>
            <w:r>
              <w:rPr>
                <w:rFonts w:hint="eastAsia"/>
                <w:color w:val="0000FF"/>
                <w:lang w:val="en-US" w:eastAsia="zh-CN"/>
              </w:rPr>
              <w:t>服务</w:t>
            </w:r>
            <w:r>
              <w:rPr>
                <w:rFonts w:hint="eastAsia"/>
                <w:color w:val="0000FF"/>
              </w:rPr>
              <w:t>部经理</w:t>
            </w:r>
          </w:p>
          <w:p>
            <w:pP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rPr>
              <w:t>餐饮</w:t>
            </w:r>
            <w:r>
              <w:rPr>
                <w:rFonts w:hint="eastAsia"/>
                <w:color w:val="0000FF"/>
                <w:lang w:val="en-US" w:eastAsia="zh-CN"/>
              </w:rPr>
              <w:t>服务</w:t>
            </w:r>
            <w:r>
              <w:rPr>
                <w:rFonts w:hint="eastAsia"/>
                <w:color w:val="0000FF"/>
              </w:rPr>
              <w:t>部</w:t>
            </w:r>
            <w:r>
              <w:rPr>
                <w:rFonts w:hint="eastAsia"/>
                <w:color w:val="0000FF"/>
                <w:lang w:val="en-US" w:eastAsia="zh-CN"/>
              </w:rPr>
              <w:t>副经理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综合部</w:t>
            </w:r>
            <w:r>
              <w:rPr>
                <w:rFonts w:hint="eastAsia"/>
                <w:color w:val="0000FF"/>
              </w:rPr>
              <w:t>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rFonts w:hint="eastAsia"/>
                <w:color w:val="0000FF"/>
                <w:highlight w:val="none"/>
                <w:lang w:val="en-US" w:eastAsia="zh-CN"/>
              </w:rPr>
            </w:pPr>
            <w:r>
              <w:rPr>
                <w:rFonts w:hint="eastAsia"/>
              </w:rPr>
              <w:t>例如：</w:t>
            </w:r>
            <w:r>
              <w:rPr>
                <w:rFonts w:hint="eastAsia"/>
                <w:color w:val="0000FF"/>
                <w:highlight w:val="none"/>
                <w:lang w:val="en-US" w:eastAsia="zh-CN"/>
              </w:rPr>
              <w:t>2020-11-28，与</w:t>
            </w:r>
            <w:r>
              <w:rPr>
                <w:rFonts w:hint="eastAsia" w:eastAsia="宋体"/>
                <w:color w:val="0000FF"/>
                <w:highlight w:val="none"/>
                <w:lang w:val="en-US" w:eastAsia="zh-CN"/>
              </w:rPr>
              <w:t>石湫街道办事处职工</w:t>
            </w:r>
            <w:r>
              <w:rPr>
                <w:rFonts w:hint="eastAsia"/>
                <w:color w:val="0000FF"/>
                <w:highlight w:val="none"/>
                <w:lang w:val="en-US" w:eastAsia="zh-CN"/>
              </w:rPr>
              <w:t>沟通“餐后感受，</w:t>
            </w:r>
            <w:r>
              <w:rPr>
                <w:rFonts w:hint="eastAsia" w:eastAsia="宋体"/>
                <w:color w:val="0000FF"/>
                <w:highlight w:val="none"/>
                <w:lang w:val="en-US" w:eastAsia="zh-CN"/>
              </w:rPr>
              <w:t>石湫街道办事处职工提出：炒青菜和红烧鱼</w:t>
            </w:r>
            <w:r>
              <w:rPr>
                <w:rFonts w:hint="eastAsia"/>
                <w:color w:val="0000FF"/>
                <w:highlight w:val="none"/>
                <w:lang w:val="en-US" w:eastAsia="zh-CN"/>
              </w:rPr>
              <w:t>口味偏咸”，已开会分析落实改善。</w:t>
            </w:r>
          </w:p>
          <w:p>
            <w:pPr>
              <w:tabs>
                <w:tab w:val="left" w:pos="510"/>
              </w:tabs>
              <w:autoSpaceDE w:val="0"/>
              <w:autoSpaceDN w:val="0"/>
              <w:adjustRightInd w:val="0"/>
              <w:ind w:right="6"/>
              <w:rPr>
                <w:rFonts w:hint="default"/>
                <w:color w:val="0000FF"/>
                <w:highlight w:val="none"/>
                <w:lang w:val="en-US" w:eastAsia="zh-CN"/>
              </w:rPr>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lang w:val="en-US" w:eastAsia="zh-CN"/>
              </w:rPr>
              <w:t xml:space="preserve"> 2020 </w:t>
            </w:r>
            <w:r>
              <w:rPr>
                <w:rFonts w:hint="eastAsia"/>
              </w:rPr>
              <w:t>年</w:t>
            </w:r>
            <w:r>
              <w:rPr>
                <w:rFonts w:hint="eastAsia"/>
                <w:lang w:val="en-US" w:eastAsia="zh-CN"/>
              </w:rPr>
              <w:t xml:space="preserve">7 </w:t>
            </w:r>
            <w:r>
              <w:rPr>
                <w:rFonts w:hint="eastAsia"/>
              </w:rPr>
              <w:t>月</w:t>
            </w:r>
            <w:r>
              <w:rPr>
                <w:rFonts w:hint="eastAsia"/>
                <w:lang w:val="en-US" w:eastAsia="zh-CN"/>
              </w:rPr>
              <w:t>28-29</w:t>
            </w:r>
            <w:r>
              <w:rPr>
                <w:rFonts w:hint="eastAsia"/>
              </w:rPr>
              <w:t>日，1个不符合项已经关闭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lang w:val="en-US" w:eastAsia="zh-CN"/>
              </w:rPr>
              <w:t xml:space="preserve">  </w:t>
            </w:r>
            <w:r>
              <w:rPr>
                <w:rFonts w:hint="eastAsia"/>
                <w:color w:val="0000FF"/>
                <w:u w:val="single"/>
              </w:rPr>
              <w:t>20</w:t>
            </w:r>
            <w:r>
              <w:rPr>
                <w:color w:val="0000FF"/>
                <w:u w:val="single"/>
              </w:rPr>
              <w:t>20</w:t>
            </w:r>
            <w:r>
              <w:rPr>
                <w:rFonts w:hint="eastAsia"/>
                <w:color w:val="0000FF"/>
                <w:u w:val="single"/>
              </w:rPr>
              <w:t>年</w:t>
            </w:r>
            <w:r>
              <w:rPr>
                <w:rFonts w:hint="eastAsia"/>
                <w:color w:val="0000FF"/>
                <w:u w:val="single"/>
                <w:lang w:val="en-US" w:eastAsia="zh-CN"/>
              </w:rPr>
              <w:t>9</w:t>
            </w:r>
            <w:r>
              <w:rPr>
                <w:rFonts w:hint="eastAsia"/>
                <w:color w:val="0000FF"/>
                <w:u w:val="single"/>
              </w:rPr>
              <w:t>月</w:t>
            </w:r>
            <w:r>
              <w:rPr>
                <w:rFonts w:hint="eastAsia"/>
                <w:color w:val="0000FF"/>
                <w:u w:val="single"/>
                <w:lang w:val="en-US" w:eastAsia="zh-CN"/>
              </w:rPr>
              <w:t>5</w:t>
            </w:r>
            <w:r>
              <w:rPr>
                <w:rFonts w:hint="eastAsia"/>
                <w:color w:val="0000FF"/>
                <w:u w:val="single"/>
              </w:rPr>
              <w:t>日</w:t>
            </w:r>
            <w:r>
              <w:rPr>
                <w:rFonts w:hint="eastAsia"/>
                <w:color w:val="0000FF"/>
                <w:u w:val="single"/>
                <w:lang w:val="en-US" w:eastAsia="zh-CN"/>
              </w:rPr>
              <w:t xml:space="preserve">   </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 例如：</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color w:val="000000"/>
                <w:szCs w:val="21"/>
                <w:highlight w:val="none"/>
                <w:lang w:val="en-US" w:eastAsia="zh-CN"/>
              </w:rPr>
              <w:t>加强对操作现场的管理，提高现场的卫生管理水平</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ascii="Times New Roman" w:hAnsi="Times New Roman" w:cs="Times New Roman"/>
                <w:lang w:val="en-US" w:eastAsia="zh-CN"/>
              </w:rPr>
              <w:t xml:space="preserve">部分防鼠板缺损，需添加或更换。 </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ascii="Times New Roman" w:hAnsi="Times New Roman" w:cs="Times New Roman"/>
                <w:lang w:val="en-US" w:eastAsia="zh-CN"/>
              </w:rPr>
              <w:t>洗手消毒区未提供热水。</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人力资源保障计划</w:t>
            </w:r>
          </w:p>
          <w:p>
            <w:r>
              <w:rPr>
                <w:rFonts w:ascii="Cambria Math" w:hAnsi="Cambria Math" w:cs="Cambria Math"/>
              </w:rPr>
              <w:t>◆</w:t>
            </w:r>
            <w:r>
              <w:rPr>
                <w:rFonts w:hint="eastAsia"/>
              </w:rPr>
              <w:t>制订了各关键岗位的任职要求，关注了下列岗位的人员的能力：</w:t>
            </w:r>
          </w:p>
          <w:p>
            <w:pPr>
              <w:pStyle w:val="35"/>
              <w:numPr>
                <w:ilvl w:val="0"/>
                <w:numId w:val="14"/>
              </w:numPr>
              <w:ind w:firstLineChars="0"/>
              <w:rPr>
                <w:highlight w:val="none"/>
              </w:rPr>
            </w:pPr>
            <w:r>
              <w:rPr>
                <w:rFonts w:hint="eastAsia"/>
                <w:highlight w:val="none"/>
              </w:rPr>
              <w:t>HACCP组长</w:t>
            </w:r>
          </w:p>
          <w:p>
            <w:pPr>
              <w:tabs>
                <w:tab w:val="left" w:pos="510"/>
              </w:tabs>
              <w:autoSpaceDE w:val="0"/>
              <w:autoSpaceDN w:val="0"/>
              <w:adjustRightInd w:val="0"/>
              <w:ind w:right="6"/>
              <w:rPr>
                <w:color w:val="0000FF"/>
                <w:highlight w:val="none"/>
              </w:rPr>
            </w:pPr>
            <w:r>
              <w:rPr>
                <w:rFonts w:hint="eastAsia"/>
                <w:color w:val="0000FF"/>
                <w:highlight w:val="none"/>
              </w:rPr>
              <w:t>•</w:t>
            </w:r>
            <w:r>
              <w:rPr>
                <w:rFonts w:hint="eastAsia"/>
                <w:color w:val="0000FF"/>
                <w:highlight w:val="none"/>
                <w:lang w:val="en-US" w:eastAsia="zh-CN"/>
              </w:rPr>
              <w:t xml:space="preserve">  </w:t>
            </w:r>
            <w:r>
              <w:rPr>
                <w:rFonts w:hint="eastAsia"/>
                <w:color w:val="0000FF"/>
                <w:highlight w:val="none"/>
              </w:rPr>
              <w:t>餐饮</w:t>
            </w:r>
            <w:r>
              <w:rPr>
                <w:rFonts w:hint="eastAsia"/>
                <w:color w:val="0000FF"/>
                <w:highlight w:val="none"/>
                <w:lang w:val="en-US" w:eastAsia="zh-CN"/>
              </w:rPr>
              <w:t>服务</w:t>
            </w:r>
            <w:r>
              <w:rPr>
                <w:rFonts w:hint="eastAsia"/>
                <w:color w:val="0000FF"/>
                <w:highlight w:val="none"/>
              </w:rPr>
              <w:t>部经理</w:t>
            </w:r>
          </w:p>
          <w:p>
            <w:pPr>
              <w:tabs>
                <w:tab w:val="left" w:pos="510"/>
              </w:tabs>
              <w:autoSpaceDE w:val="0"/>
              <w:autoSpaceDN w:val="0"/>
              <w:adjustRightInd w:val="0"/>
              <w:ind w:right="6"/>
              <w:rPr>
                <w:rFonts w:hint="eastAsia"/>
                <w:color w:val="0000FF"/>
                <w:lang w:val="en-US" w:eastAsia="zh-CN"/>
              </w:rPr>
            </w:pPr>
            <w:r>
              <w:rPr>
                <w:rFonts w:hint="eastAsia"/>
                <w:color w:val="0000FF"/>
                <w:highlight w:val="none"/>
              </w:rPr>
              <w:t>•</w:t>
            </w:r>
            <w:r>
              <w:rPr>
                <w:rFonts w:hint="eastAsia"/>
                <w:color w:val="0000FF"/>
                <w:highlight w:val="none"/>
                <w:lang w:val="en-US" w:eastAsia="zh-CN"/>
              </w:rPr>
              <w:t xml:space="preserve">  </w:t>
            </w:r>
            <w:r>
              <w:rPr>
                <w:rFonts w:hint="eastAsia"/>
                <w:color w:val="0000FF"/>
              </w:rPr>
              <w:t>餐饮</w:t>
            </w:r>
            <w:r>
              <w:rPr>
                <w:rFonts w:hint="eastAsia"/>
                <w:color w:val="0000FF"/>
                <w:lang w:val="en-US" w:eastAsia="zh-CN"/>
              </w:rPr>
              <w:t>服务</w:t>
            </w:r>
            <w:r>
              <w:rPr>
                <w:rFonts w:hint="eastAsia"/>
                <w:color w:val="0000FF"/>
              </w:rPr>
              <w:t>部</w:t>
            </w:r>
            <w:r>
              <w:rPr>
                <w:rFonts w:hint="eastAsia"/>
                <w:color w:val="0000FF"/>
                <w:lang w:val="en-US" w:eastAsia="zh-CN"/>
              </w:rPr>
              <w:t>副经理</w:t>
            </w:r>
          </w:p>
          <w:p>
            <w:pPr>
              <w:tabs>
                <w:tab w:val="left" w:pos="510"/>
              </w:tabs>
              <w:autoSpaceDE w:val="0"/>
              <w:autoSpaceDN w:val="0"/>
              <w:adjustRightInd w:val="0"/>
              <w:ind w:right="6"/>
              <w:rPr>
                <w:rFonts w:hint="eastAsia"/>
                <w:color w:val="0000FF"/>
              </w:rPr>
            </w:pPr>
            <w:r>
              <w:rPr>
                <w:rFonts w:hint="eastAsia"/>
                <w:color w:val="0000FF"/>
              </w:rPr>
              <w:t>•</w:t>
            </w:r>
            <w:r>
              <w:rPr>
                <w:rFonts w:hint="eastAsia"/>
                <w:color w:val="0000FF"/>
                <w:lang w:val="en-US" w:eastAsia="zh-CN"/>
              </w:rPr>
              <w:t xml:space="preserve">  综合部</w:t>
            </w:r>
            <w:r>
              <w:rPr>
                <w:rFonts w:hint="eastAsia"/>
                <w:color w:val="0000FF"/>
              </w:rPr>
              <w:t>经理</w:t>
            </w:r>
          </w:p>
          <w:p>
            <w:pPr>
              <w:tabs>
                <w:tab w:val="left" w:pos="510"/>
              </w:tabs>
              <w:autoSpaceDE w:val="0"/>
              <w:autoSpaceDN w:val="0"/>
              <w:adjustRightInd w:val="0"/>
              <w:ind w:right="6"/>
              <w:rPr>
                <w:color w:val="0000FF"/>
                <w:highlight w:val="cyan"/>
              </w:rPr>
            </w:pPr>
          </w:p>
          <w:p/>
          <w:p>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35"/>
              <w:numPr>
                <w:ilvl w:val="0"/>
                <w:numId w:val="15"/>
              </w:numPr>
              <w:ind w:firstLineChars="0"/>
            </w:pPr>
            <w:r>
              <w:rPr>
                <w:rFonts w:hint="eastAsia"/>
              </w:rPr>
              <w:t>学历证书</w:t>
            </w:r>
          </w:p>
          <w:p>
            <w:pPr>
              <w:pStyle w:val="35"/>
              <w:numPr>
                <w:ilvl w:val="0"/>
                <w:numId w:val="15"/>
              </w:numPr>
              <w:ind w:firstLineChars="0"/>
            </w:pPr>
            <w:r>
              <w:rPr>
                <w:rFonts w:hint="eastAsia"/>
              </w:rPr>
              <w:t>培训文件</w:t>
            </w:r>
          </w:p>
          <w:p>
            <w:pPr>
              <w:pStyle w:val="35"/>
              <w:numPr>
                <w:ilvl w:val="0"/>
                <w:numId w:val="15"/>
              </w:numPr>
              <w:ind w:firstLineChars="0"/>
            </w:pPr>
            <w:r>
              <w:rPr>
                <w:rFonts w:hint="eastAsia"/>
              </w:rPr>
              <w:t>资格证书</w:t>
            </w:r>
          </w:p>
          <w:p/>
          <w:p>
            <w:r>
              <w:rPr>
                <w:rFonts w:ascii="Cambria Math" w:hAnsi="Cambria Math" w:cs="Cambria Math"/>
              </w:rPr>
              <w:t>◆</w:t>
            </w:r>
            <w:r>
              <w:t>组织制定了</w:t>
            </w:r>
            <w:r>
              <w:rPr>
                <w:rFonts w:hint="eastAsia"/>
                <w:u w:val="single"/>
              </w:rPr>
              <w:t xml:space="preserve"> 20</w:t>
            </w:r>
            <w:r>
              <w:rPr>
                <w:rFonts w:hint="eastAsia"/>
                <w:u w:val="single"/>
                <w:lang w:val="en-US" w:eastAsia="zh-CN"/>
              </w:rPr>
              <w:t>20</w:t>
            </w:r>
            <w:r>
              <w:rPr>
                <w:rFonts w:hint="eastAsia"/>
                <w:u w:val="single"/>
              </w:rPr>
              <w:t xml:space="preserve"> </w:t>
            </w:r>
            <w:r>
              <w:rPr>
                <w:rFonts w:hint="eastAsia"/>
              </w:rPr>
              <w:t>年度</w:t>
            </w:r>
            <w:r>
              <w:t>的</w:t>
            </w:r>
            <w:r>
              <w:rPr>
                <w:rFonts w:hint="eastAsia"/>
              </w:rPr>
              <w:t>HACCP知识方面的</w:t>
            </w:r>
            <w:r>
              <w:t>培训计划</w:t>
            </w:r>
            <w:r>
              <w:rPr>
                <w:rFonts w:hint="eastAsia"/>
              </w:rPr>
              <w:t>；包括了 GMP/SSOP/HACCP的内容。</w:t>
            </w:r>
          </w:p>
          <w:p/>
          <w:p>
            <w:r>
              <w:rPr>
                <w:rFonts w:hint="eastAsia"/>
              </w:rPr>
              <w:t>以下培训记录被抽查：</w:t>
            </w:r>
          </w:p>
          <w:p>
            <w:pPr>
              <w:pStyle w:val="35"/>
              <w:numPr>
                <w:ilvl w:val="0"/>
                <w:numId w:val="16"/>
              </w:numPr>
              <w:ind w:firstLineChars="0"/>
            </w:pPr>
            <w:r>
              <w:rPr>
                <w:rFonts w:hint="eastAsia"/>
                <w:color w:val="0000FF"/>
                <w:u w:val="single"/>
              </w:rPr>
              <w:t>20</w:t>
            </w:r>
            <w:r>
              <w:rPr>
                <w:rFonts w:hint="eastAsia"/>
                <w:color w:val="0000FF"/>
                <w:u w:val="single"/>
                <w:lang w:val="en-US" w:eastAsia="zh-CN"/>
              </w:rPr>
              <w:t>20</w:t>
            </w:r>
            <w:r>
              <w:rPr>
                <w:rFonts w:hint="eastAsia"/>
                <w:color w:val="0000FF"/>
                <w:u w:val="single"/>
              </w:rPr>
              <w:t>年</w:t>
            </w:r>
            <w:r>
              <w:rPr>
                <w:rFonts w:hint="eastAsia"/>
                <w:color w:val="0000FF"/>
                <w:u w:val="single"/>
                <w:lang w:val="en-US" w:eastAsia="zh-CN"/>
              </w:rPr>
              <w:t>8</w:t>
            </w:r>
            <w:r>
              <w:rPr>
                <w:rFonts w:hint="eastAsia"/>
                <w:color w:val="0000FF"/>
                <w:u w:val="single"/>
              </w:rPr>
              <w:t>月</w:t>
            </w:r>
            <w:r>
              <w:rPr>
                <w:rFonts w:hint="eastAsia"/>
                <w:color w:val="0000FF"/>
                <w:u w:val="single"/>
                <w:lang w:val="en-US" w:eastAsia="zh-CN"/>
              </w:rPr>
              <w:t>9</w:t>
            </w:r>
            <w:r>
              <w:rPr>
                <w:rFonts w:hint="eastAsia"/>
                <w:color w:val="0000FF"/>
                <w:u w:val="single"/>
              </w:rPr>
              <w:t>日</w:t>
            </w:r>
            <w:r>
              <w:rPr>
                <w:rFonts w:hint="eastAsia"/>
              </w:rPr>
              <w:t>食品安全知识培训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CCP点和消毒等培训。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 xml:space="preserve">食品安全法规培训 </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人员健康卫生控制培训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ISO22000标准内部培训</w:t>
            </w:r>
          </w:p>
          <w:p>
            <w:pPr>
              <w:rPr>
                <w:color w:val="000000"/>
              </w:rPr>
            </w:pPr>
            <w:r>
              <w:rPr>
                <w:color w:val="0000FF"/>
              </w:rPr>
              <w:t>□</w:t>
            </w:r>
            <w:r>
              <w:rPr>
                <w:rFonts w:hint="eastAsia"/>
              </w:rPr>
              <w:t>微生物基础知识</w:t>
            </w:r>
          </w:p>
          <w:p>
            <w:pPr>
              <w:rPr>
                <w:color w:val="000000"/>
              </w:rPr>
            </w:pPr>
            <w:r>
              <w:rPr>
                <w:color w:val="0000FF"/>
              </w:rPr>
              <w:t>□</w:t>
            </w:r>
            <w:r>
              <w:rPr>
                <w:rFonts w:hint="eastAsia"/>
              </w:rPr>
              <w:t>食品添加剂使用标准</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35"/>
              <w:numPr>
                <w:ilvl w:val="0"/>
                <w:numId w:val="17"/>
              </w:numPr>
              <w:autoSpaceDE w:val="0"/>
              <w:autoSpaceDN w:val="0"/>
              <w:adjustRightInd w:val="0"/>
              <w:ind w:firstLineChars="0"/>
              <w:jc w:val="left"/>
              <w:rPr>
                <w:color w:val="0000FF"/>
              </w:rPr>
            </w:pPr>
            <w:r>
              <w:rPr>
                <w:rFonts w:hint="eastAsia"/>
                <w:color w:val="0000FF"/>
                <w:szCs w:val="21"/>
              </w:rPr>
              <w:t>GB/T 27306-2008《食品安全管理体系 餐饮业要求》</w:t>
            </w:r>
            <w:r>
              <w:rPr>
                <w:rFonts w:hint="eastAsia"/>
                <w:color w:val="0000FF"/>
              </w:rPr>
              <w:t>；</w:t>
            </w:r>
          </w:p>
          <w:p>
            <w:pPr>
              <w:pStyle w:val="35"/>
              <w:numPr>
                <w:ilvl w:val="0"/>
                <w:numId w:val="17"/>
              </w:numPr>
              <w:autoSpaceDE w:val="0"/>
              <w:autoSpaceDN w:val="0"/>
              <w:adjustRightInd w:val="0"/>
              <w:ind w:firstLineChars="0"/>
              <w:jc w:val="left"/>
              <w:rPr>
                <w:color w:val="0000FF"/>
              </w:rPr>
            </w:pPr>
            <w:r>
              <w:rPr>
                <w:rFonts w:hint="eastAsia" w:ascii="宋体" w:hAnsi="宋体"/>
                <w:color w:val="0000FF"/>
                <w:szCs w:val="21"/>
              </w:rPr>
              <w:t>G</w:t>
            </w:r>
            <w:r>
              <w:rPr>
                <w:rFonts w:ascii="宋体" w:hAnsi="宋体"/>
                <w:color w:val="0000FF"/>
                <w:szCs w:val="21"/>
              </w:rPr>
              <w:t>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pStyle w:val="35"/>
              <w:numPr>
                <w:ilvl w:val="0"/>
                <w:numId w:val="17"/>
              </w:numPr>
              <w:autoSpaceDE w:val="0"/>
              <w:autoSpaceDN w:val="0"/>
              <w:adjustRightInd w:val="0"/>
              <w:ind w:firstLineChars="0"/>
              <w:jc w:val="left"/>
              <w:rPr>
                <w:rFonts w:hint="eastAsia"/>
                <w:color w:val="0000FF"/>
              </w:rPr>
            </w:pPr>
            <w:r>
              <w:rPr>
                <w:rFonts w:hint="eastAsia"/>
                <w:color w:val="0000FF"/>
              </w:rPr>
              <w:t xml:space="preserve">餐饮服务食品安全操作规范 </w:t>
            </w: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w:t>
            </w:r>
            <w:r>
              <w:rPr>
                <w:color w:val="0000FF"/>
                <w:szCs w:val="18"/>
                <w:lang w:val="en-GB"/>
              </w:rPr>
              <w:t>1</w:t>
            </w:r>
            <w:r>
              <w:rPr>
                <w:rFonts w:hint="eastAsia"/>
                <w:color w:val="0000FF"/>
                <w:szCs w:val="18"/>
                <w:lang w:val="en-GB"/>
              </w:rPr>
              <w:t>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highlight w:val="none"/>
                <w:lang w:val="en-GB"/>
              </w:rPr>
            </w:pPr>
            <w:r>
              <w:rPr>
                <w:rFonts w:hint="eastAsia"/>
                <w:color w:val="0000FF"/>
                <w:szCs w:val="18"/>
                <w:highlight w:val="none"/>
                <w:lang w:val="en-GB"/>
              </w:rPr>
              <w:t>现场查看GMP的实施情况——</w:t>
            </w:r>
            <w:r>
              <w:rPr>
                <w:color w:val="0000FF"/>
                <w:szCs w:val="18"/>
                <w:highlight w:val="none"/>
                <w:lang w:val="en-GB"/>
              </w:rPr>
              <w:t>□</w:t>
            </w:r>
            <w:r>
              <w:rPr>
                <w:rFonts w:hint="eastAsia"/>
                <w:color w:val="0000FF"/>
                <w:szCs w:val="18"/>
                <w:highlight w:val="none"/>
                <w:lang w:val="en-GB"/>
              </w:rPr>
              <w:t xml:space="preserve">良好  </w:t>
            </w:r>
            <w:r>
              <w:rPr>
                <w:color w:val="0000FF"/>
                <w:szCs w:val="18"/>
                <w:highlight w:val="none"/>
                <w:lang w:val="en-GB"/>
              </w:rPr>
              <w:t>□</w:t>
            </w:r>
            <w:r>
              <w:rPr>
                <w:rFonts w:hint="eastAsia"/>
                <w:color w:val="0000FF"/>
                <w:szCs w:val="18"/>
                <w:highlight w:val="none"/>
                <w:lang w:val="en-GB"/>
              </w:rPr>
              <w:t xml:space="preserve">不良  </w:t>
            </w:r>
            <w:r>
              <w:rPr>
                <w:rFonts w:hint="eastAsia" w:ascii="宋体" w:hAnsi="宋体"/>
                <w:color w:val="0000FF"/>
                <w:szCs w:val="18"/>
                <w:highlight w:val="none"/>
                <w:lang w:val="en-GB"/>
              </w:rPr>
              <w:t>■</w:t>
            </w:r>
            <w:r>
              <w:rPr>
                <w:color w:val="0000FF"/>
                <w:szCs w:val="18"/>
                <w:highlight w:val="none"/>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napToGrid w:val="0"/>
              <w:spacing w:line="264" w:lineRule="auto"/>
              <w:jc w:val="left"/>
              <w:rPr>
                <w:szCs w:val="21"/>
              </w:rPr>
            </w:pPr>
            <w:r>
              <w:rPr>
                <w:szCs w:val="21"/>
              </w:rPr>
              <w:t>e)对食品造成的危害</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b） 接触食品的器具、手套和内外包装材料等应清洁、卫生和安全； </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c） 确保食品免受交叉污染； </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d） 保证操作人员手的清洗消毒，保持洗手间设施的清洁； </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f） 正确标注、存放和使用各类有毒化学物质； </w:t>
            </w:r>
          </w:p>
          <w:p>
            <w:pPr>
              <w:widowControl/>
              <w:numPr>
                <w:ilvl w:val="0"/>
                <w:numId w:val="18"/>
              </w:numPr>
              <w:spacing w:before="60" w:after="60"/>
              <w:jc w:val="left"/>
              <w:rPr>
                <w:rFonts w:ascii="宋体" w:hAnsi="宋体" w:cs="宋体"/>
                <w:color w:val="0000FF"/>
              </w:rPr>
            </w:pPr>
            <w:r>
              <w:rPr>
                <w:rFonts w:hint="eastAsia" w:ascii="宋体" w:hAnsi="宋体" w:cs="宋体"/>
                <w:color w:val="0000FF"/>
              </w:rPr>
              <w:t xml:space="preserve">g） 保证与食品接触的员工的身体健康和卫生； </w:t>
            </w:r>
          </w:p>
          <w:p>
            <w:pPr>
              <w:widowControl/>
              <w:numPr>
                <w:ilvl w:val="0"/>
                <w:numId w:val="18"/>
              </w:numPr>
              <w:snapToGrid w:val="0"/>
              <w:spacing w:before="40" w:after="40" w:line="264" w:lineRule="auto"/>
              <w:jc w:val="left"/>
              <w:rPr>
                <w:szCs w:val="21"/>
              </w:rPr>
            </w:pPr>
            <w:r>
              <w:rPr>
                <w:rFonts w:hint="eastAsia" w:ascii="宋体" w:hAnsi="宋体" w:cs="宋体"/>
                <w:color w:val="0000FF"/>
              </w:rPr>
              <w:t>h） 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szCs w:val="21"/>
              </w:rPr>
              <w:t>◆</w:t>
            </w:r>
            <w:r>
              <w:rPr>
                <w:szCs w:val="21"/>
                <w:highlight w:val="none"/>
              </w:rPr>
              <w:t xml:space="preserve"> SSOP</w:t>
            </w:r>
            <w:r>
              <w:rPr>
                <w:rFonts w:hint="eastAsia"/>
                <w:szCs w:val="21"/>
                <w:highlight w:val="none"/>
              </w:rPr>
              <w:t>的实施</w:t>
            </w:r>
            <w:r>
              <w:rPr>
                <w:szCs w:val="21"/>
                <w:highlight w:val="none"/>
              </w:rPr>
              <w:t>记录</w:t>
            </w:r>
            <w:r>
              <w:rPr>
                <w:rFonts w:hint="eastAsia"/>
                <w:szCs w:val="21"/>
                <w:highlight w:val="none"/>
              </w:rPr>
              <w:t>——</w:t>
            </w:r>
            <w:r>
              <w:rPr>
                <w:rFonts w:hint="eastAsia"/>
                <w:color w:val="0000FF"/>
                <w:szCs w:val="18"/>
                <w:highlight w:val="none"/>
                <w:lang w:val="en-GB"/>
              </w:rPr>
              <w:t>每月</w:t>
            </w:r>
            <w:r>
              <w:rPr>
                <w:color w:val="0000FF"/>
                <w:szCs w:val="18"/>
                <w:highlight w:val="none"/>
                <w:lang w:val="en-GB"/>
              </w:rPr>
              <w:t>1</w:t>
            </w:r>
            <w:r>
              <w:rPr>
                <w:rFonts w:hint="eastAsia"/>
                <w:color w:val="0000FF"/>
                <w:szCs w:val="18"/>
                <w:highlight w:val="none"/>
                <w:lang w:val="en-GB"/>
              </w:rPr>
              <w:t>次</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r>
              <w:rPr>
                <w:rFonts w:hint="eastAsia"/>
                <w:color w:val="0000FF"/>
                <w:szCs w:val="21"/>
                <w:lang w:eastAsia="zh-CN"/>
              </w:rPr>
              <w:t>——</w:t>
            </w:r>
            <w:r>
              <w:rPr>
                <w:rFonts w:hint="eastAsia"/>
                <w:color w:val="0000FF"/>
                <w:szCs w:val="21"/>
                <w:lang w:val="en-US" w:eastAsia="zh-CN"/>
              </w:rPr>
              <w:t>每年体检1次</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 ——有病请假不上岗</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外来人员健康管理记录 </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消毒液配制记录 </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w:t>
            </w:r>
            <w:r>
              <w:rPr>
                <w:rFonts w:hint="eastAsia"/>
                <w:color w:val="0000FF"/>
                <w:szCs w:val="21"/>
                <w:lang w:val="en-US" w:eastAsia="zh-CN"/>
              </w:rPr>
              <w:t>每月检查</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有餐具消毒剂和洗洁精                         </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9"/>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20"/>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20"/>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20"/>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r>
              <w:rPr>
                <w:rFonts w:hint="eastAsia"/>
                <w:color w:val="0000FF"/>
                <w:szCs w:val="18"/>
                <w:lang w:val="en-US" w:eastAsia="zh-CN"/>
              </w:rPr>
              <w:t>成品</w:t>
            </w:r>
            <w:r>
              <w:rPr>
                <w:rFonts w:hint="eastAsia"/>
                <w:color w:val="0000FF"/>
                <w:szCs w:val="18"/>
                <w:lang w:val="en-GB"/>
              </w:rPr>
              <w:t>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szCs w:val="21"/>
                <w:highlight w:val="none"/>
                <w:u w:val="single"/>
              </w:rPr>
              <w:t>7</w:t>
            </w:r>
            <w:r>
              <w:rPr>
                <w:rFonts w:hint="eastAsia"/>
                <w:szCs w:val="21"/>
                <w:highlight w:val="none"/>
                <w:u w:val="single"/>
              </w:rPr>
              <w:t xml:space="preserve">    </w:t>
            </w:r>
            <w:r>
              <w:rPr>
                <w:rFonts w:hint="eastAsia"/>
                <w:szCs w:val="21"/>
                <w:highlight w:val="none"/>
              </w:rPr>
              <w:t>家</w:t>
            </w:r>
            <w:r>
              <w:rPr>
                <w:rFonts w:hint="eastAsia"/>
                <w:szCs w:val="21"/>
              </w:rPr>
              <w:t>：包括了下列供方：</w:t>
            </w:r>
          </w:p>
          <w:p>
            <w:pPr>
              <w:widowControl/>
              <w:numPr>
                <w:ilvl w:val="0"/>
                <w:numId w:val="9"/>
              </w:numPr>
              <w:snapToGrid w:val="0"/>
              <w:spacing w:before="40" w:after="40" w:line="264" w:lineRule="auto"/>
              <w:rPr>
                <w:color w:val="0000FF"/>
                <w:szCs w:val="21"/>
              </w:rPr>
            </w:pPr>
            <w:r>
              <w:rPr>
                <w:rFonts w:hint="eastAsia"/>
                <w:color w:val="0000FF"/>
                <w:szCs w:val="21"/>
              </w:rPr>
              <w:t>主要原材料——猪肉、虾、鱼、蔬菜、大米</w:t>
            </w:r>
          </w:p>
          <w:p>
            <w:pPr>
              <w:widowControl/>
              <w:numPr>
                <w:ilvl w:val="0"/>
                <w:numId w:val="9"/>
              </w:numPr>
              <w:snapToGrid w:val="0"/>
              <w:spacing w:before="40" w:after="40" w:line="264" w:lineRule="auto"/>
              <w:rPr>
                <w:color w:val="0000FF"/>
                <w:szCs w:val="21"/>
              </w:rPr>
            </w:pPr>
            <w:r>
              <w:rPr>
                <w:rFonts w:hint="eastAsia"/>
                <w:color w:val="0000FF"/>
                <w:szCs w:val="21"/>
              </w:rPr>
              <w:t>辅料——大豆油、酱油、调味料</w:t>
            </w:r>
          </w:p>
          <w:p>
            <w:pPr>
              <w:widowControl/>
              <w:numPr>
                <w:ilvl w:val="0"/>
                <w:numId w:val="9"/>
              </w:numPr>
              <w:snapToGrid w:val="0"/>
              <w:spacing w:before="40" w:after="40" w:line="264" w:lineRule="auto"/>
              <w:rPr>
                <w:color w:val="0000FF"/>
                <w:szCs w:val="21"/>
              </w:rPr>
            </w:pPr>
            <w:r>
              <w:rPr>
                <w:rFonts w:hint="eastAsia"/>
                <w:color w:val="0000FF"/>
                <w:szCs w:val="21"/>
              </w:rPr>
              <w:t>内包材——一次性餐盒、陶瓷或密胺酯餐具</w:t>
            </w:r>
          </w:p>
          <w:p>
            <w:pPr>
              <w:widowControl/>
              <w:numPr>
                <w:ilvl w:val="0"/>
                <w:numId w:val="0"/>
              </w:numPr>
              <w:snapToGrid w:val="0"/>
              <w:spacing w:before="40" w:after="40" w:line="264" w:lineRule="auto"/>
              <w:ind w:left="360" w:leftChars="0"/>
              <w:rPr>
                <w:szCs w:val="21"/>
              </w:rPr>
            </w:pPr>
          </w:p>
          <w:p>
            <w:pPr>
              <w:snapToGrid w:val="0"/>
              <w:spacing w:line="264" w:lineRule="auto"/>
              <w:rPr>
                <w:szCs w:val="21"/>
              </w:rPr>
            </w:pPr>
            <w:r>
              <w:rPr>
                <w:szCs w:val="21"/>
              </w:rPr>
              <w:t>原辅料、食品包装材料验收要求和程序，</w:t>
            </w:r>
            <w:r>
              <w:rPr>
                <w:rFonts w:hint="eastAsia"/>
                <w:szCs w:val="21"/>
              </w:rPr>
              <w:t>及索证</w:t>
            </w:r>
          </w:p>
          <w:p>
            <w:pPr>
              <w:widowControl/>
              <w:numPr>
                <w:ilvl w:val="0"/>
                <w:numId w:val="9"/>
              </w:numPr>
              <w:snapToGrid w:val="0"/>
              <w:spacing w:before="40" w:after="40" w:line="264" w:lineRule="auto"/>
              <w:rPr>
                <w:color w:val="0000FF"/>
                <w:szCs w:val="21"/>
              </w:rPr>
            </w:pPr>
            <w:r>
              <w:rPr>
                <w:rFonts w:hint="eastAsia"/>
                <w:color w:val="0000FF"/>
                <w:szCs w:val="21"/>
              </w:rPr>
              <w:t>主要原材料——猪肉，2</w:t>
            </w:r>
            <w:r>
              <w:rPr>
                <w:color w:val="0000FF"/>
                <w:szCs w:val="21"/>
              </w:rPr>
              <w:t>020</w:t>
            </w:r>
            <w:r>
              <w:rPr>
                <w:rFonts w:hint="eastAsia"/>
                <w:color w:val="0000FF"/>
                <w:szCs w:val="21"/>
                <w:lang w:val="en-US" w:eastAsia="zh-CN"/>
              </w:rPr>
              <w:t>1127</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9"/>
              </w:numPr>
              <w:snapToGrid w:val="0"/>
              <w:spacing w:before="40" w:after="40" w:line="264" w:lineRule="auto"/>
              <w:rPr>
                <w:color w:val="0000FF"/>
                <w:szCs w:val="21"/>
              </w:rPr>
            </w:pPr>
            <w:r>
              <w:rPr>
                <w:rFonts w:hint="eastAsia"/>
                <w:color w:val="0000FF"/>
                <w:szCs w:val="21"/>
              </w:rPr>
              <w:t xml:space="preserve">          ——蔬菜，20</w:t>
            </w:r>
            <w:r>
              <w:rPr>
                <w:color w:val="0000FF"/>
                <w:szCs w:val="21"/>
              </w:rPr>
              <w:t>201</w:t>
            </w:r>
            <w:r>
              <w:rPr>
                <w:rFonts w:hint="eastAsia"/>
                <w:color w:val="0000FF"/>
                <w:szCs w:val="21"/>
                <w:lang w:val="en-US" w:eastAsia="zh-CN"/>
              </w:rPr>
              <w:t>128</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辅料——酱油，20</w:t>
            </w:r>
            <w:r>
              <w:rPr>
                <w:color w:val="0000FF"/>
                <w:szCs w:val="21"/>
                <w:highlight w:val="none"/>
              </w:rPr>
              <w:t>20</w:t>
            </w:r>
            <w:r>
              <w:rPr>
                <w:rFonts w:hint="eastAsia"/>
                <w:color w:val="0000FF"/>
                <w:szCs w:val="21"/>
                <w:highlight w:val="none"/>
                <w:lang w:val="en-US" w:eastAsia="zh-CN"/>
              </w:rPr>
              <w:t>0810</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rFonts w:ascii="Times New Roman" w:hAnsi="Times New Roman" w:cs="Times New Roman"/>
                <w:color w:val="0000FF"/>
                <w:szCs w:val="21"/>
                <w:highlight w:val="none"/>
              </w:rPr>
            </w:pPr>
            <w:r>
              <w:rPr>
                <w:rFonts w:hint="eastAsia"/>
                <w:color w:val="0000FF"/>
                <w:szCs w:val="21"/>
              </w:rPr>
              <w:t>内包材——餐具（汤勺），</w:t>
            </w:r>
            <w:r>
              <w:rPr>
                <w:rFonts w:hint="eastAsia" w:ascii="Times New Roman" w:hAnsi="Times New Roman" w:cs="Times New Roman"/>
                <w:color w:val="0000FF"/>
                <w:szCs w:val="21"/>
                <w:lang w:val="en-US" w:eastAsia="zh-CN"/>
              </w:rPr>
              <w:t>202</w:t>
            </w:r>
            <w:r>
              <w:rPr>
                <w:rFonts w:hint="eastAsia" w:ascii="Times New Roman" w:hAnsi="Times New Roman" w:cs="Times New Roman"/>
                <w:color w:val="0000FF"/>
                <w:szCs w:val="21"/>
                <w:highlight w:val="none"/>
                <w:lang w:val="en-US" w:eastAsia="zh-CN"/>
              </w:rPr>
              <w:t>00903</w:t>
            </w:r>
            <w:r>
              <w:rPr>
                <w:rFonts w:hint="eastAsia" w:ascii="Times New Roman" w:hAnsi="Times New Roman" w:cs="Times New Roman"/>
                <w:color w:val="0000FF"/>
                <w:szCs w:val="21"/>
                <w:highlight w:val="none"/>
              </w:rPr>
              <w:t>，企业自检/■委托检验/验证供方检测报告</w:t>
            </w:r>
          </w:p>
          <w:p>
            <w:pPr>
              <w:widowControl/>
              <w:numPr>
                <w:ilvl w:val="0"/>
                <w:numId w:val="9"/>
              </w:numPr>
              <w:snapToGrid w:val="0"/>
              <w:spacing w:before="40" w:after="40" w:line="264" w:lineRule="auto"/>
              <w:rPr>
                <w:color w:val="0000FF"/>
                <w:szCs w:val="21"/>
              </w:rPr>
            </w:pPr>
            <w:r>
              <w:rPr>
                <w:rFonts w:hint="eastAsia" w:ascii="Times New Roman" w:hAnsi="Times New Roman" w:cs="Times New Roman"/>
                <w:color w:val="0000FF"/>
                <w:szCs w:val="21"/>
                <w:highlight w:val="none"/>
              </w:rPr>
              <w:t>内包材——餐具（碗），</w:t>
            </w:r>
            <w:r>
              <w:rPr>
                <w:rFonts w:hint="eastAsia" w:ascii="Times New Roman" w:hAnsi="Times New Roman" w:cs="Times New Roman"/>
                <w:color w:val="0000FF"/>
                <w:szCs w:val="21"/>
                <w:highlight w:val="none"/>
                <w:lang w:val="en-US" w:eastAsia="zh-CN"/>
              </w:rPr>
              <w:t>20200903</w:t>
            </w:r>
            <w:r>
              <w:rPr>
                <w:rFonts w:hint="eastAsia" w:ascii="Times New Roman" w:hAnsi="Times New Roman" w:cs="Times New Roman"/>
                <w:color w:val="0000FF"/>
                <w:szCs w:val="21"/>
                <w:highlight w:val="none"/>
              </w:rPr>
              <w:t>，</w:t>
            </w:r>
            <w:r>
              <w:rPr>
                <w:rFonts w:hint="eastAsia"/>
                <w:color w:val="0000FF"/>
                <w:szCs w:val="21"/>
              </w:rPr>
              <w:t>企业自检/</w:t>
            </w:r>
            <w:r>
              <w:rPr>
                <w:rFonts w:hint="eastAsia" w:ascii="宋体" w:hAnsi="宋体"/>
                <w:color w:val="0000FF"/>
                <w:szCs w:val="21"/>
              </w:rPr>
              <w:t>■</w:t>
            </w:r>
            <w:r>
              <w:rPr>
                <w:rFonts w:hint="eastAsia"/>
                <w:color w:val="0000FF"/>
                <w:szCs w:val="21"/>
              </w:rPr>
              <w:t>委托检验/验证供方检测报告</w:t>
            </w:r>
          </w:p>
          <w:p>
            <w:pPr>
              <w:widowControl/>
              <w:numPr>
                <w:ilvl w:val="0"/>
                <w:numId w:val="0"/>
              </w:numPr>
              <w:snapToGrid w:val="0"/>
              <w:spacing w:before="40" w:after="40" w:line="264" w:lineRule="auto"/>
              <w:jc w:val="both"/>
              <w:rPr>
                <w:rFonts w:hint="eastAsia"/>
                <w:color w:val="0000FF"/>
                <w:szCs w:val="21"/>
              </w:rPr>
            </w:pPr>
          </w:p>
          <w:p>
            <w:pPr>
              <w:widowControl/>
              <w:numPr>
                <w:ilvl w:val="0"/>
                <w:numId w:val="0"/>
              </w:numPr>
              <w:snapToGrid w:val="0"/>
              <w:spacing w:before="40" w:after="40" w:line="264" w:lineRule="auto"/>
              <w:jc w:val="both"/>
              <w:rPr>
                <w:rFonts w:hint="eastAsia"/>
                <w:color w:val="FF0000"/>
                <w:szCs w:val="21"/>
                <w:lang w:val="en-US" w:eastAsia="zh-CN"/>
              </w:rPr>
            </w:pPr>
            <w:r>
              <w:rPr>
                <w:rFonts w:hint="eastAsia"/>
                <w:color w:val="FF0000"/>
                <w:szCs w:val="21"/>
              </w:rPr>
              <w:t>审核</w:t>
            </w:r>
            <w:r>
              <w:rPr>
                <w:rFonts w:hint="eastAsia"/>
                <w:color w:val="FF0000"/>
                <w:szCs w:val="21"/>
                <w:lang w:val="en-US" w:eastAsia="zh-CN"/>
              </w:rPr>
              <w:t>外部供方控制时</w:t>
            </w:r>
            <w:r>
              <w:rPr>
                <w:rFonts w:hint="eastAsia"/>
                <w:color w:val="FF0000"/>
                <w:szCs w:val="21"/>
              </w:rPr>
              <w:t>发现：</w:t>
            </w:r>
            <w:r>
              <w:rPr>
                <w:rFonts w:hint="eastAsia"/>
                <w:color w:val="FF0000"/>
                <w:szCs w:val="21"/>
                <w:lang w:val="en-US" w:eastAsia="zh-CN"/>
              </w:rPr>
              <w:t>未按照</w:t>
            </w:r>
            <w:r>
              <w:rPr>
                <w:rFonts w:hint="eastAsia"/>
                <w:color w:val="FF0000"/>
                <w:szCs w:val="21"/>
              </w:rPr>
              <w:t>《</w:t>
            </w:r>
            <w:r>
              <w:rPr>
                <w:rFonts w:hint="eastAsia"/>
                <w:color w:val="FF0000"/>
                <w:szCs w:val="21"/>
                <w:lang w:val="en-US" w:eastAsia="zh-CN"/>
              </w:rPr>
              <w:t>采购控制程序</w:t>
            </w:r>
            <w:r>
              <w:rPr>
                <w:rFonts w:hint="eastAsia"/>
                <w:color w:val="FF0000"/>
                <w:szCs w:val="21"/>
              </w:rPr>
              <w:t>》第4.2条款的要求</w:t>
            </w:r>
            <w:r>
              <w:rPr>
                <w:rFonts w:hint="eastAsia"/>
                <w:color w:val="FF0000"/>
                <w:szCs w:val="21"/>
                <w:lang w:val="en-US" w:eastAsia="zh-CN"/>
              </w:rPr>
              <w:t>对以下供应商进行评价：</w:t>
            </w:r>
          </w:p>
          <w:p>
            <w:pPr>
              <w:widowControl/>
              <w:numPr>
                <w:ilvl w:val="0"/>
                <w:numId w:val="21"/>
              </w:numPr>
              <w:snapToGrid w:val="0"/>
              <w:spacing w:before="40" w:after="40" w:line="264" w:lineRule="auto"/>
              <w:jc w:val="both"/>
              <w:rPr>
                <w:rFonts w:hint="default"/>
                <w:color w:val="0000FF"/>
                <w:szCs w:val="21"/>
                <w:lang w:val="en-US" w:eastAsia="zh-CN"/>
              </w:rPr>
            </w:pPr>
            <w:r>
              <w:rPr>
                <w:rFonts w:hint="eastAsia"/>
                <w:color w:val="FF0000"/>
                <w:szCs w:val="21"/>
                <w:lang w:val="en-US" w:eastAsia="zh-CN"/>
              </w:rPr>
              <w:t>南京强强食品有限公司；2.南京市溧水区园村粮油门市部 。——见不符合报告01</w:t>
            </w:r>
          </w:p>
          <w:p>
            <w:pPr>
              <w:widowControl/>
              <w:numPr>
                <w:ilvl w:val="0"/>
                <w:numId w:val="0"/>
              </w:numPr>
              <w:snapToGrid w:val="0"/>
              <w:spacing w:before="40" w:after="40" w:line="264" w:lineRule="auto"/>
              <w:jc w:val="both"/>
              <w:rPr>
                <w:color w:val="0000FF"/>
                <w:szCs w:val="21"/>
              </w:rPr>
            </w:pP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22"/>
              </w:numPr>
              <w:snapToGrid w:val="0"/>
              <w:spacing w:before="40" w:after="40" w:line="264" w:lineRule="auto"/>
              <w:rPr>
                <w:color w:val="0000FF"/>
                <w:szCs w:val="21"/>
              </w:rPr>
            </w:pPr>
            <w:r>
              <w:rPr>
                <w:rFonts w:hint="eastAsia"/>
                <w:color w:val="0000FF"/>
                <w:szCs w:val="21"/>
              </w:rPr>
              <w:t>进货记录</w:t>
            </w:r>
            <w:r>
              <w:rPr>
                <w:rFonts w:hint="eastAsia"/>
                <w:color w:val="0000FF"/>
                <w:szCs w:val="21"/>
                <w:lang w:eastAsia="zh-CN"/>
              </w:rPr>
              <w:t>，</w:t>
            </w:r>
            <w:r>
              <w:rPr>
                <w:rFonts w:hint="eastAsia"/>
                <w:color w:val="FF0000"/>
                <w:szCs w:val="21"/>
                <w:lang w:val="en-US" w:eastAsia="zh-CN"/>
              </w:rPr>
              <w:t>2020-11-29在现场查看有购入的蔬菜和肉类食材，但是查看当天的“食品及原材料采购进货查验记录和进货验证记录”，未见相关内容。——见不符合报告02</w:t>
            </w:r>
          </w:p>
          <w:p>
            <w:pPr>
              <w:widowControl/>
              <w:numPr>
                <w:ilvl w:val="0"/>
                <w:numId w:val="22"/>
              </w:numPr>
              <w:snapToGrid w:val="0"/>
              <w:spacing w:before="40" w:after="40" w:line="264" w:lineRule="auto"/>
              <w:rPr>
                <w:color w:val="0000FF"/>
                <w:szCs w:val="21"/>
              </w:rPr>
            </w:pPr>
            <w:r>
              <w:rPr>
                <w:rFonts w:hint="eastAsia"/>
                <w:color w:val="0000FF"/>
                <w:szCs w:val="21"/>
              </w:rPr>
              <w:t>厨师</w:t>
            </w:r>
          </w:p>
          <w:p>
            <w:pPr>
              <w:widowControl/>
              <w:numPr>
                <w:ilvl w:val="0"/>
                <w:numId w:val="22"/>
              </w:numPr>
              <w:snapToGrid w:val="0"/>
              <w:spacing w:before="40" w:after="40" w:line="264" w:lineRule="auto"/>
              <w:rPr>
                <w:color w:val="0000FF"/>
                <w:szCs w:val="21"/>
              </w:rPr>
            </w:pPr>
            <w:r>
              <w:rPr>
                <w:rFonts w:hint="eastAsia"/>
                <w:color w:val="0000FF"/>
                <w:szCs w:val="21"/>
              </w:rPr>
              <w:t>区域</w:t>
            </w:r>
          </w:p>
          <w:p>
            <w:pPr>
              <w:widowControl/>
              <w:numPr>
                <w:ilvl w:val="0"/>
                <w:numId w:val="22"/>
              </w:numPr>
              <w:snapToGrid w:val="0"/>
              <w:spacing w:before="40" w:after="40" w:line="264" w:lineRule="auto"/>
              <w:rPr>
                <w:color w:val="0000FF"/>
                <w:szCs w:val="21"/>
              </w:rPr>
            </w:pPr>
            <w:r>
              <w:rPr>
                <w:rFonts w:hint="eastAsia"/>
                <w:color w:val="0000FF"/>
                <w:szCs w:val="21"/>
              </w:rPr>
              <w:t>餐食留样</w:t>
            </w:r>
          </w:p>
          <w:p>
            <w:pPr>
              <w:widowControl/>
              <w:numPr>
                <w:ilvl w:val="0"/>
                <w:numId w:val="0"/>
              </w:numPr>
              <w:snapToGrid w:val="0"/>
              <w:spacing w:before="40" w:after="40" w:line="264" w:lineRule="auto"/>
              <w:jc w:val="both"/>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9"/>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复配膨松剂（双效泡打粉）  12.5g/kg</w:t>
            </w:r>
          </w:p>
          <w:p>
            <w:pPr>
              <w:widowControl/>
              <w:numPr>
                <w:ilvl w:val="0"/>
                <w:numId w:val="9"/>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不适用                           </w:t>
            </w:r>
            <w:r>
              <w:rPr>
                <w:rFonts w:hint="eastAsia"/>
                <w:color w:val="0000FF"/>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w:t>
            </w:r>
            <w:r>
              <w:rPr>
                <w:szCs w:val="21"/>
                <w:u w:val="single"/>
              </w:rPr>
              <w:t xml:space="preserve">2020 </w:t>
            </w:r>
            <w:r>
              <w:rPr>
                <w:rFonts w:hint="eastAsia"/>
                <w:szCs w:val="21"/>
                <w:u w:val="single"/>
              </w:rPr>
              <w:t xml:space="preserve"> </w:t>
            </w:r>
            <w:r>
              <w:rPr>
                <w:rFonts w:hint="eastAsia"/>
                <w:szCs w:val="21"/>
              </w:rPr>
              <w:t>年度的大堂</w:t>
            </w:r>
            <w:r>
              <w:rPr>
                <w:szCs w:val="21"/>
              </w:rPr>
              <w:t>、</w:t>
            </w:r>
            <w:r>
              <w:rPr>
                <w:rFonts w:hint="eastAsia"/>
                <w:szCs w:val="21"/>
              </w:rPr>
              <w:t>后厨</w:t>
            </w:r>
            <w:r>
              <w:rPr>
                <w:szCs w:val="21"/>
              </w:rPr>
              <w:t>、设施、设备等的维护保养计划</w:t>
            </w:r>
          </w:p>
          <w:p>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餐厅设施</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区域设施</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大堂设施</w:t>
            </w:r>
          </w:p>
          <w:p>
            <w:pPr>
              <w:widowControl/>
              <w:numPr>
                <w:ilvl w:val="0"/>
                <w:numId w:val="9"/>
              </w:numPr>
              <w:snapToGrid w:val="0"/>
              <w:spacing w:before="40" w:after="40" w:line="264" w:lineRule="auto"/>
              <w:rPr>
                <w:szCs w:val="21"/>
                <w:highlight w:val="none"/>
              </w:rPr>
            </w:pPr>
            <w:r>
              <w:rPr>
                <w:rFonts w:hint="eastAsia"/>
                <w:color w:val="0000FF"/>
                <w:szCs w:val="21"/>
                <w:highlight w:val="none"/>
              </w:rPr>
              <w:t>后厨加工设备</w:t>
            </w:r>
          </w:p>
          <w:p>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szCs w:val="21"/>
              </w:rPr>
            </w:pPr>
            <w:r>
              <w:rPr>
                <w:szCs w:val="21"/>
              </w:rPr>
              <w:t>对监控和验证要求标识产品的状态</w:t>
            </w:r>
          </w:p>
          <w:p>
            <w:pPr>
              <w:snapToGrid w:val="0"/>
              <w:spacing w:line="264" w:lineRule="auto"/>
              <w:rPr>
                <w:szCs w:val="21"/>
              </w:rPr>
            </w:pPr>
            <w:r>
              <w:rPr>
                <w:szCs w:val="21"/>
              </w:rPr>
              <w:t>产品发运记录，记录内容包括所有分销方、零售商、顾客或消费者</w:t>
            </w:r>
          </w:p>
          <w:p>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Pr>
                <w:rFonts w:hint="eastAsia"/>
                <w:b/>
                <w:color w:val="0000FF"/>
                <w:u w:val="single"/>
              </w:rPr>
              <w:t>产品名称</w:t>
            </w:r>
            <w:r>
              <w:rPr>
                <w:rFonts w:hint="eastAsia"/>
                <w:u w:val="single"/>
                <w:lang w:val="en-GB"/>
              </w:rPr>
              <w:t>：</w:t>
            </w:r>
            <w:r>
              <w:rPr>
                <w:rFonts w:hint="eastAsia"/>
                <w:b/>
                <w:color w:val="0000FF"/>
                <w:u w:val="single"/>
                <w:lang w:val="en-US" w:eastAsia="zh-CN"/>
              </w:rPr>
              <w:t>红烧牛肉</w:t>
            </w:r>
            <w:r>
              <w:rPr>
                <w:rFonts w:hint="eastAsia"/>
                <w:b/>
                <w:color w:val="0000FF"/>
                <w:u w:val="single"/>
              </w:rPr>
              <w:t>；批号： 20</w:t>
            </w:r>
            <w:r>
              <w:rPr>
                <w:b/>
                <w:color w:val="0000FF"/>
                <w:u w:val="single"/>
              </w:rPr>
              <w:t>20</w:t>
            </w:r>
            <w:r>
              <w:rPr>
                <w:rFonts w:hint="eastAsia"/>
                <w:b/>
                <w:color w:val="0000FF"/>
                <w:u w:val="single"/>
              </w:rPr>
              <w:t>-</w:t>
            </w:r>
            <w:r>
              <w:rPr>
                <w:b/>
                <w:color w:val="0000FF"/>
                <w:u w:val="single"/>
              </w:rPr>
              <w:t>1</w:t>
            </w:r>
            <w:r>
              <w:rPr>
                <w:rFonts w:hint="eastAsia"/>
                <w:b/>
                <w:color w:val="0000FF"/>
                <w:u w:val="single"/>
                <w:lang w:val="en-US" w:eastAsia="zh-CN"/>
              </w:rPr>
              <w:t>1-23</w:t>
            </w:r>
            <w:r>
              <w:rPr>
                <w:color w:val="0000FF"/>
                <w:u w:val="single"/>
              </w:rPr>
              <w:t>_.</w:t>
            </w:r>
            <w:r>
              <w:rPr>
                <w:u w:val="single"/>
              </w:rPr>
              <w:t>_</w:t>
            </w:r>
            <w:r>
              <w:rPr>
                <w:rFonts w:hint="eastAsia"/>
                <w:lang w:val="en-GB"/>
              </w:rPr>
              <w:t>进行了标识和可追溯检查，结果有效。</w:t>
            </w:r>
          </w:p>
          <w:p>
            <w:pPr>
              <w:rPr>
                <w:b/>
              </w:rPr>
            </w:pPr>
            <w:r>
              <w:rPr>
                <w:b/>
              </w:rPr>
              <w:t>产品召回计划</w:t>
            </w:r>
          </w:p>
          <w:p>
            <w:pPr>
              <w:rPr>
                <w:szCs w:val="21"/>
              </w:rPr>
            </w:pPr>
            <w:r>
              <w:rPr>
                <w:szCs w:val="21"/>
              </w:rPr>
              <w:t>产品召回计划</w:t>
            </w:r>
            <w:r>
              <w:rPr>
                <w:rFonts w:hint="eastAsia"/>
                <w:szCs w:val="21"/>
              </w:rPr>
              <w:t>包括了下列内容：</w:t>
            </w:r>
          </w:p>
          <w:p>
            <w:pPr>
              <w:widowControl/>
              <w:numPr>
                <w:ilvl w:val="0"/>
                <w:numId w:val="12"/>
              </w:numPr>
              <w:spacing w:before="40" w:after="40"/>
              <w:rPr>
                <w:szCs w:val="21"/>
              </w:rPr>
            </w:pPr>
            <w:r>
              <w:rPr>
                <w:szCs w:val="21"/>
              </w:rPr>
              <w:t>启动和实施产品召回计划人员的职责和权限</w:t>
            </w:r>
          </w:p>
          <w:p>
            <w:pPr>
              <w:widowControl/>
              <w:numPr>
                <w:ilvl w:val="0"/>
                <w:numId w:val="12"/>
              </w:numPr>
              <w:spacing w:before="40" w:after="40"/>
              <w:rPr>
                <w:szCs w:val="21"/>
              </w:rPr>
            </w:pPr>
            <w:r>
              <w:rPr>
                <w:szCs w:val="21"/>
              </w:rPr>
              <w:t>产品召回行动需符合的相关法律、法规和其他相关要求</w:t>
            </w:r>
          </w:p>
          <w:p>
            <w:pPr>
              <w:widowControl/>
              <w:numPr>
                <w:ilvl w:val="0"/>
                <w:numId w:val="12"/>
              </w:numPr>
              <w:spacing w:before="40" w:after="40"/>
              <w:rPr>
                <w:szCs w:val="21"/>
              </w:rPr>
            </w:pPr>
            <w:r>
              <w:rPr>
                <w:szCs w:val="21"/>
              </w:rPr>
              <w:t>制定并实施受安全危害影响产品的召回措施</w:t>
            </w:r>
          </w:p>
          <w:p>
            <w:pPr>
              <w:widowControl/>
              <w:numPr>
                <w:ilvl w:val="0"/>
                <w:numId w:val="12"/>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szCs w:val="21"/>
                <w:u w:val="single"/>
                <w:lang w:val="en-US" w:eastAsia="zh-CN"/>
              </w:rPr>
              <w:t>红烧牛肉未熟透</w:t>
            </w:r>
            <w:r>
              <w:rPr>
                <w:rFonts w:hint="eastAsia"/>
                <w:szCs w:val="21"/>
                <w:u w:val="single"/>
              </w:rPr>
              <w:t xml:space="preserve">  </w:t>
            </w:r>
            <w:r>
              <w:rPr>
                <w:rFonts w:hint="eastAsia"/>
                <w:szCs w:val="21"/>
              </w:rPr>
              <w:t>，批号</w:t>
            </w:r>
            <w:r>
              <w:rPr>
                <w:rFonts w:hint="eastAsia"/>
                <w:szCs w:val="21"/>
                <w:u w:val="single"/>
              </w:rPr>
              <w:t xml:space="preserve">  20</w:t>
            </w:r>
            <w:r>
              <w:rPr>
                <w:rFonts w:hint="eastAsia"/>
                <w:szCs w:val="21"/>
                <w:u w:val="single"/>
                <w:lang w:val="en-US" w:eastAsia="zh-CN"/>
              </w:rPr>
              <w:t>20-09-20</w:t>
            </w:r>
            <w:r>
              <w:rPr>
                <w:rFonts w:hint="eastAsia"/>
                <w:szCs w:val="21"/>
                <w:u w:val="single"/>
              </w:rPr>
              <w:t xml:space="preserve"> </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28</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rFonts w:hint="default" w:eastAsia="宋体"/>
                      <w:color w:val="0000FF"/>
                      <w:lang w:val="en-US" w:eastAsia="zh-CN"/>
                    </w:rPr>
                  </w:pPr>
                  <w:r>
                    <w:rPr>
                      <w:rFonts w:hint="eastAsia"/>
                      <w:color w:val="0000FF"/>
                      <w:lang w:val="en-US" w:eastAsia="zh-CN"/>
                    </w:rPr>
                    <w:t>王小静先生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lang w:val="en-GB"/>
                    </w:rPr>
                    <w:t>综合部经理</w:t>
                  </w:r>
                </w:p>
              </w:tc>
              <w:tc>
                <w:tcPr>
                  <w:tcW w:w="2334" w:type="dxa"/>
                  <w:shd w:val="clear" w:color="auto" w:fill="FFFFFF"/>
                </w:tcPr>
                <w:p>
                  <w:pPr>
                    <w:rPr>
                      <w:rFonts w:hint="default" w:eastAsia="宋体"/>
                      <w:color w:val="0000FF"/>
                      <w:lang w:val="en-US" w:eastAsia="zh-CN"/>
                    </w:rPr>
                  </w:pPr>
                  <w:r>
                    <w:rPr>
                      <w:rFonts w:hint="eastAsia"/>
                      <w:color w:val="0000FF"/>
                      <w:lang w:val="en-US" w:eastAsia="zh-CN"/>
                    </w:rPr>
                    <w:t>张令彬先生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服务</w:t>
                  </w:r>
                  <w:r>
                    <w:rPr>
                      <w:rFonts w:hint="eastAsia"/>
                      <w:color w:val="0000FF"/>
                      <w:lang w:val="en-GB"/>
                    </w:rPr>
                    <w:t>部经理</w:t>
                  </w:r>
                  <w:r>
                    <w:rPr>
                      <w:rFonts w:hint="eastAsia"/>
                      <w:color w:val="0000FF"/>
                      <w:lang w:val="en-GB"/>
                    </w:rPr>
                    <w:tab/>
                  </w:r>
                </w:p>
              </w:tc>
              <w:tc>
                <w:tcPr>
                  <w:tcW w:w="2334" w:type="dxa"/>
                  <w:shd w:val="clear" w:color="auto" w:fill="FFFFFF"/>
                </w:tcPr>
                <w:p>
                  <w:pPr>
                    <w:rPr>
                      <w:rFonts w:hint="default" w:eastAsia="宋体"/>
                      <w:color w:val="0000FF"/>
                      <w:lang w:val="en-US" w:eastAsia="zh-CN"/>
                    </w:rPr>
                  </w:pPr>
                  <w:r>
                    <w:rPr>
                      <w:rFonts w:hint="eastAsia"/>
                      <w:color w:val="0000FF"/>
                      <w:lang w:val="en-US" w:eastAsia="zh-CN"/>
                    </w:rPr>
                    <w:t>王小静先生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服务</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US" w:eastAsia="zh-CN"/>
                    </w:rPr>
                    <w:t>王小静先生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rFonts w:hint="default" w:eastAsia="宋体"/>
                      <w:color w:val="0000FF"/>
                      <w:lang w:val="en-US" w:eastAsia="zh-CN"/>
                    </w:rPr>
                  </w:pPr>
                  <w:r>
                    <w:rPr>
                      <w:rFonts w:hint="eastAsia"/>
                      <w:color w:val="0000FF"/>
                      <w:lang w:val="en-US" w:eastAsia="zh-CN"/>
                    </w:rPr>
                    <w:t>营销部经理</w:t>
                  </w:r>
                </w:p>
              </w:tc>
              <w:tc>
                <w:tcPr>
                  <w:tcW w:w="2334" w:type="dxa"/>
                  <w:shd w:val="clear" w:color="auto" w:fill="FFFFFF"/>
                </w:tcPr>
                <w:p>
                  <w:pPr>
                    <w:rPr>
                      <w:rFonts w:hint="default" w:eastAsia="宋体"/>
                      <w:color w:val="0000FF"/>
                      <w:lang w:val="en-US" w:eastAsia="zh-CN"/>
                    </w:rPr>
                  </w:pPr>
                  <w:r>
                    <w:rPr>
                      <w:rFonts w:hint="eastAsia"/>
                      <w:color w:val="0000FF"/>
                      <w:lang w:val="en-US" w:eastAsia="zh-CN"/>
                    </w:rPr>
                    <w:t>张西然女士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服务</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GB"/>
                    </w:rPr>
                    <w:t>陈辉先生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外部专家（无）</w:t>
                  </w:r>
                </w:p>
              </w:tc>
              <w:tc>
                <w:tcPr>
                  <w:tcW w:w="2334" w:type="dxa"/>
                  <w:shd w:val="clear" w:color="auto" w:fill="auto"/>
                </w:tcPr>
                <w:p>
                  <w:pPr>
                    <w:rPr>
                      <w:color w:val="0000FF"/>
                      <w:lang w:val="en-GB"/>
                    </w:rPr>
                  </w:pPr>
                </w:p>
              </w:tc>
            </w:tr>
          </w:tbl>
          <w:p>
            <w:pPr>
              <w:rPr>
                <w:szCs w:val="21"/>
              </w:rPr>
            </w:pPr>
          </w:p>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产品描述</w:t>
            </w:r>
          </w:p>
          <w:p>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widowControl/>
              <w:numPr>
                <w:ilvl w:val="0"/>
                <w:numId w:val="12"/>
              </w:numPr>
              <w:spacing w:before="40" w:after="40"/>
              <w:rPr>
                <w:color w:val="0000FF"/>
                <w:szCs w:val="21"/>
              </w:rPr>
            </w:pPr>
            <w:r>
              <w:rPr>
                <w:rFonts w:hint="eastAsia"/>
                <w:color w:val="0000FF"/>
                <w:szCs w:val="21"/>
              </w:rPr>
              <w:t>肉类</w:t>
            </w:r>
          </w:p>
          <w:p>
            <w:pPr>
              <w:widowControl/>
              <w:numPr>
                <w:ilvl w:val="0"/>
                <w:numId w:val="12"/>
              </w:numPr>
              <w:spacing w:before="40" w:after="40"/>
              <w:rPr>
                <w:color w:val="0000FF"/>
                <w:szCs w:val="21"/>
              </w:rPr>
            </w:pPr>
            <w:r>
              <w:rPr>
                <w:rFonts w:hint="eastAsia"/>
                <w:color w:val="0000FF"/>
                <w:szCs w:val="21"/>
              </w:rPr>
              <w:t>水</w:t>
            </w:r>
          </w:p>
          <w:p>
            <w:pPr>
              <w:widowControl/>
              <w:numPr>
                <w:ilvl w:val="0"/>
                <w:numId w:val="12"/>
              </w:numPr>
              <w:spacing w:before="40" w:after="40"/>
              <w:rPr>
                <w:color w:val="0000FF"/>
                <w:szCs w:val="21"/>
              </w:rPr>
            </w:pPr>
            <w:r>
              <w:rPr>
                <w:rFonts w:hint="eastAsia"/>
                <w:color w:val="0000FF"/>
                <w:szCs w:val="21"/>
              </w:rPr>
              <w:t>食用油</w:t>
            </w:r>
          </w:p>
          <w:p>
            <w:pPr>
              <w:widowControl/>
              <w:numPr>
                <w:ilvl w:val="0"/>
                <w:numId w:val="12"/>
              </w:numPr>
              <w:spacing w:before="40" w:after="40"/>
              <w:rPr>
                <w:color w:val="0000FF"/>
                <w:szCs w:val="21"/>
              </w:rPr>
            </w:pPr>
            <w:r>
              <w:rPr>
                <w:rFonts w:hint="eastAsia"/>
                <w:color w:val="0000FF"/>
                <w:szCs w:val="21"/>
              </w:rPr>
              <w:t>大米</w:t>
            </w:r>
          </w:p>
          <w:p>
            <w:pPr>
              <w:widowControl/>
              <w:numPr>
                <w:ilvl w:val="0"/>
                <w:numId w:val="12"/>
              </w:numPr>
              <w:spacing w:before="40" w:after="40"/>
              <w:rPr>
                <w:color w:val="0000FF"/>
                <w:szCs w:val="21"/>
              </w:rPr>
            </w:pPr>
            <w:r>
              <w:rPr>
                <w:rFonts w:hint="eastAsia"/>
                <w:color w:val="0000FF"/>
                <w:szCs w:val="21"/>
              </w:rPr>
              <w:t>酱油</w:t>
            </w:r>
          </w:p>
          <w:p>
            <w:pPr>
              <w:widowControl/>
              <w:numPr>
                <w:ilvl w:val="0"/>
                <w:numId w:val="12"/>
              </w:numPr>
              <w:spacing w:before="40" w:after="40"/>
              <w:rPr>
                <w:color w:val="0000FF"/>
                <w:szCs w:val="21"/>
              </w:rPr>
            </w:pPr>
            <w:r>
              <w:rPr>
                <w:rFonts w:hint="eastAsia"/>
                <w:color w:val="0000FF"/>
                <w:szCs w:val="21"/>
              </w:rPr>
              <w:t>大豆油</w:t>
            </w:r>
          </w:p>
          <w:p>
            <w:pPr>
              <w:widowControl/>
              <w:numPr>
                <w:ilvl w:val="0"/>
                <w:numId w:val="12"/>
              </w:numPr>
              <w:spacing w:before="40" w:after="40"/>
              <w:rPr>
                <w:color w:val="0000FF"/>
                <w:szCs w:val="21"/>
              </w:rPr>
            </w:pPr>
            <w:r>
              <w:rPr>
                <w:rFonts w:hint="eastAsia"/>
                <w:color w:val="0000FF"/>
                <w:szCs w:val="21"/>
              </w:rPr>
              <w:t>餐盒</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widowControl/>
              <w:numPr>
                <w:ilvl w:val="0"/>
                <w:numId w:val="12"/>
              </w:numPr>
              <w:spacing w:before="40" w:after="40"/>
              <w:rPr>
                <w:color w:val="0000FF"/>
                <w:szCs w:val="21"/>
              </w:rPr>
            </w:pPr>
            <w:r>
              <w:rPr>
                <w:rFonts w:hint="eastAsia"/>
                <w:color w:val="0000FF"/>
                <w:szCs w:val="21"/>
              </w:rPr>
              <w:t>菜肴</w:t>
            </w:r>
          </w:p>
          <w:p>
            <w:pPr>
              <w:widowControl/>
              <w:numPr>
                <w:ilvl w:val="0"/>
                <w:numId w:val="12"/>
              </w:numPr>
              <w:spacing w:before="40" w:after="40"/>
              <w:rPr>
                <w:color w:val="0000FF"/>
                <w:szCs w:val="21"/>
              </w:rPr>
            </w:pPr>
            <w:r>
              <w:rPr>
                <w:rFonts w:hint="eastAsia"/>
                <w:color w:val="0000FF"/>
                <w:szCs w:val="21"/>
              </w:rPr>
              <w:t>米饭</w:t>
            </w:r>
            <w:r>
              <w:rPr>
                <w:color w:val="0000FF"/>
                <w:szCs w:val="21"/>
              </w:rPr>
              <w:t>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pPr>
          </w:p>
          <w:p>
            <w:pPr>
              <w:autoSpaceDE w:val="0"/>
              <w:autoSpaceDN w:val="0"/>
              <w:adjustRightInd w:val="0"/>
              <w:rPr>
                <w:color w:val="0000FF"/>
              </w:rPr>
            </w:pPr>
            <w:r>
              <w:rPr>
                <w:rFonts w:hint="eastAsia"/>
              </w:rPr>
              <w:t>本企业</w:t>
            </w:r>
            <w:r>
              <w:t>产品预期用途</w:t>
            </w:r>
            <w:r>
              <w:rPr>
                <w:rFonts w:hint="eastAsia"/>
              </w:rPr>
              <w:t xml:space="preserve">为 </w:t>
            </w:r>
            <w:r>
              <w:rPr>
                <w:rFonts w:hint="eastAsia"/>
                <w:color w:val="0000FF"/>
                <w:u w:val="single"/>
              </w:rPr>
              <w:t xml:space="preserve">  直接食用（堂食或外卖）          </w:t>
            </w:r>
            <w:r>
              <w:rPr>
                <w:rFonts w:hint="eastAsia"/>
                <w:color w:val="0000FF"/>
              </w:rPr>
              <w:t xml:space="preserve"> 。</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11"/>
              </w:numPr>
              <w:spacing w:before="40" w:after="40"/>
            </w:pPr>
            <w:r>
              <w:t>工艺流程图包括</w:t>
            </w:r>
            <w:r>
              <w:rPr>
                <w:rFonts w:hint="eastAsia"/>
              </w:rPr>
              <w:t>了</w:t>
            </w:r>
            <w:r>
              <w:t>：</w:t>
            </w:r>
          </w:p>
          <w:p>
            <w:r>
              <w:t>1)每个步骤及其相应操作；</w:t>
            </w:r>
          </w:p>
          <w:p>
            <w:r>
              <w:t>2)这些步骤之间的顺序和相互关系；</w:t>
            </w:r>
          </w:p>
          <w:p>
            <w:r>
              <w:t>3)返工点和循环点（适宜时）；</w:t>
            </w:r>
          </w:p>
          <w:p>
            <w:r>
              <w:t>4)外部的过程和外包的内容；</w:t>
            </w:r>
          </w:p>
          <w:p>
            <w:r>
              <w:t>5)原料、辅料和中间产品的投入点；</w:t>
            </w:r>
          </w:p>
          <w:p>
            <w:r>
              <w:t>6)废弃物的排放点。</w:t>
            </w:r>
          </w:p>
          <w:p>
            <w:pPr>
              <w:widowControl/>
              <w:numPr>
                <w:ilvl w:val="0"/>
                <w:numId w:val="11"/>
              </w:numPr>
              <w:autoSpaceDE w:val="0"/>
              <w:autoSpaceDN w:val="0"/>
              <w:adjustRightInd w:val="0"/>
              <w:rPr>
                <w:b/>
                <w:color w:val="0000FF"/>
              </w:rPr>
            </w:pPr>
            <w:r>
              <w:rPr>
                <w:rFonts w:hint="eastAsia"/>
                <w:color w:val="0000FF"/>
              </w:rPr>
              <w:t>食堂</w:t>
            </w:r>
            <w:r>
              <w:rPr>
                <w:rFonts w:hint="eastAsia"/>
                <w:color w:val="0000FF"/>
                <w:lang w:val="en-US" w:eastAsia="zh-CN"/>
              </w:rPr>
              <w:t>平面</w:t>
            </w:r>
            <w:r>
              <w:rPr>
                <w:color w:val="0000FF"/>
              </w:rPr>
              <w:t>图</w:t>
            </w:r>
          </w:p>
          <w:p>
            <w:pPr>
              <w:widowControl/>
              <w:numPr>
                <w:ilvl w:val="0"/>
                <w:numId w:val="11"/>
              </w:numPr>
              <w:autoSpaceDE w:val="0"/>
              <w:autoSpaceDN w:val="0"/>
              <w:adjustRightInd w:val="0"/>
              <w:rPr>
                <w:b/>
                <w:color w:val="0000FF"/>
                <w:highlight w:val="none"/>
              </w:rPr>
            </w:pPr>
            <w:bookmarkStart w:id="1" w:name="_Hlk54027225"/>
            <w:r>
              <w:rPr>
                <w:color w:val="0000FF"/>
                <w:highlight w:val="none"/>
              </w:rPr>
              <w:t>车间平面图</w:t>
            </w:r>
          </w:p>
          <w:p>
            <w:pPr>
              <w:widowControl/>
              <w:numPr>
                <w:ilvl w:val="0"/>
                <w:numId w:val="11"/>
              </w:numPr>
              <w:autoSpaceDE w:val="0"/>
              <w:autoSpaceDN w:val="0"/>
              <w:adjustRightInd w:val="0"/>
              <w:rPr>
                <w:b/>
                <w:color w:val="0000FF"/>
                <w:highlight w:val="none"/>
              </w:rPr>
            </w:pPr>
            <w:r>
              <w:rPr>
                <w:color w:val="0000FF"/>
                <w:highlight w:val="none"/>
              </w:rPr>
              <w:t>人流物流图</w:t>
            </w:r>
          </w:p>
          <w:p>
            <w:pPr>
              <w:widowControl/>
              <w:numPr>
                <w:ilvl w:val="0"/>
                <w:numId w:val="11"/>
              </w:numPr>
              <w:autoSpaceDE w:val="0"/>
              <w:autoSpaceDN w:val="0"/>
              <w:adjustRightInd w:val="0"/>
              <w:rPr>
                <w:b/>
                <w:color w:val="0000FF"/>
                <w:highlight w:val="none"/>
              </w:rPr>
            </w:pPr>
            <w:r>
              <w:rPr>
                <w:color w:val="0000FF"/>
                <w:highlight w:val="none"/>
              </w:rPr>
              <w:t>供排水网络图</w:t>
            </w:r>
          </w:p>
          <w:p>
            <w:pPr>
              <w:widowControl/>
              <w:numPr>
                <w:ilvl w:val="0"/>
                <w:numId w:val="11"/>
              </w:numPr>
              <w:autoSpaceDE w:val="0"/>
              <w:autoSpaceDN w:val="0"/>
              <w:adjustRightInd w:val="0"/>
              <w:rPr>
                <w:b/>
                <w:color w:val="0000FF"/>
                <w:highlight w:val="none"/>
              </w:rPr>
            </w:pPr>
            <w:r>
              <w:rPr>
                <w:color w:val="0000FF"/>
                <w:highlight w:val="none"/>
              </w:rPr>
              <w:t>防虫害分布图</w:t>
            </w:r>
          </w:p>
          <w:bookmarkEnd w:id="1"/>
          <w:p>
            <w:pPr>
              <w:widowControl/>
              <w:numPr>
                <w:ilvl w:val="0"/>
                <w:numId w:val="11"/>
              </w:numPr>
              <w:autoSpaceDE w:val="0"/>
              <w:autoSpaceDN w:val="0"/>
              <w:adjustRightInd w:val="0"/>
              <w:rPr>
                <w:b/>
                <w:highlight w:val="none"/>
              </w:rPr>
            </w:pPr>
            <w:r>
              <w:rPr>
                <w:highlight w:val="none"/>
              </w:rPr>
              <w:t>等</w:t>
            </w:r>
          </w:p>
          <w:p>
            <w:r>
              <w:rPr>
                <w:rFonts w:hint="eastAsia"/>
              </w:rPr>
              <w:t>各种</w:t>
            </w:r>
            <w:r>
              <w:t>流程图</w:t>
            </w:r>
            <w:r>
              <w:rPr>
                <w:rFonts w:hint="eastAsia"/>
              </w:rPr>
              <w:t>和平面图</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流程图的确认</w:t>
            </w:r>
          </w:p>
          <w:p>
            <w:pP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t>由熟悉操作工艺的HACCP小组人员对所有操作步骤在操作状态下进行现场核查，确认并证实与所制定流程图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是/否</w:t>
            </w:r>
            <w:r>
              <w:t>在必要时进行修改。</w:t>
            </w:r>
          </w:p>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b/>
              </w:rPr>
              <w:t>危害识别</w:t>
            </w:r>
          </w:p>
          <w:p>
            <w:r>
              <w:t>HACCP小组</w:t>
            </w:r>
            <w:r>
              <w:rPr>
                <w:rFonts w:hint="eastAsia"/>
              </w:rPr>
              <w:t>是否</w:t>
            </w:r>
            <w:r>
              <w:t>根据以下方面的因素，在</w:t>
            </w:r>
            <w:r>
              <w:rPr>
                <w:rFonts w:hint="eastAsia"/>
              </w:rPr>
              <w:t>分析了</w:t>
            </w:r>
            <w:r>
              <w:t>加工步骤中</w:t>
            </w:r>
            <w:r>
              <w:rPr>
                <w:rFonts w:hint="eastAsia"/>
              </w:rPr>
              <w:t>存在的</w:t>
            </w:r>
            <w:r>
              <w:t>生物、化学、物理危害，</w:t>
            </w:r>
          </w:p>
          <w:p>
            <w:r>
              <w:rPr>
                <w:rFonts w:hint="eastAsia"/>
              </w:rPr>
              <w:t>1）</w:t>
            </w:r>
            <w:r>
              <w:t>产品、操作和环境；</w:t>
            </w:r>
          </w:p>
          <w:p>
            <w:r>
              <w:rPr>
                <w:rFonts w:hint="eastAsia"/>
              </w:rPr>
              <w:t>2）</w:t>
            </w:r>
            <w:r>
              <w:t>消费者或顾客和法律法规对产品及原辅料、食品包装材料的安全卫生要求；</w:t>
            </w:r>
          </w:p>
          <w:p>
            <w:r>
              <w:rPr>
                <w:rFonts w:hint="eastAsia"/>
              </w:rPr>
              <w:t>3）</w:t>
            </w:r>
            <w:r>
              <w:t>产品食用、使用安全的监控和评价结果；</w:t>
            </w:r>
          </w:p>
          <w:p>
            <w:r>
              <w:rPr>
                <w:rFonts w:hint="eastAsia"/>
              </w:rPr>
              <w:t>4）</w:t>
            </w:r>
            <w:r>
              <w:t>不安全产品处置、纠偏、召回和应急预案的状况；</w:t>
            </w:r>
          </w:p>
          <w:p>
            <w:r>
              <w:rPr>
                <w:rFonts w:hint="eastAsia"/>
              </w:rPr>
              <w:t>5）</w:t>
            </w:r>
            <w:r>
              <w:t>历史上和当前的流行病学、动植物疫情或疾病统计数据和食品安全事故案例；</w:t>
            </w:r>
          </w:p>
          <w:p>
            <w:r>
              <w:rPr>
                <w:rFonts w:hint="eastAsia"/>
              </w:rPr>
              <w:t>6）</w:t>
            </w:r>
            <w:r>
              <w:t>科技文献，包括相关类别产品的危害控制指南；</w:t>
            </w:r>
          </w:p>
          <w:p>
            <w:r>
              <w:rPr>
                <w:rFonts w:hint="eastAsia"/>
              </w:rPr>
              <w:t>7）</w:t>
            </w:r>
            <w:r>
              <w:t>危害识别范围内的其他步骤对产品产生的影响；</w:t>
            </w:r>
          </w:p>
          <w:p>
            <w:r>
              <w:rPr>
                <w:rFonts w:hint="eastAsia"/>
              </w:rPr>
              <w:t>8)</w:t>
            </w:r>
            <w:r>
              <w:t>人为的破坏和蓄意污染等情况；</w:t>
            </w:r>
          </w:p>
          <w:p>
            <w:r>
              <w:rPr>
                <w:rFonts w:hint="eastAsia"/>
              </w:rPr>
              <w:t xml:space="preserve">9) </w:t>
            </w:r>
            <w:r>
              <w:t>经验。</w:t>
            </w:r>
          </w:p>
          <w:p>
            <w:r>
              <w:t>在从原料生产直到最终消费的范围内</w:t>
            </w:r>
            <w:r>
              <w:rPr>
                <w:rFonts w:hint="eastAsia"/>
              </w:rPr>
              <w:t>，是否</w:t>
            </w:r>
            <w:r>
              <w:t>针对需考虑的所有危害，识别其在每个操作步骤中根据预期被引入、产生或增长的所有潜在危害及其原因。</w:t>
            </w:r>
          </w:p>
          <w:p>
            <w:r>
              <w:t>当影响危害识别结果的任何因素发生变化时，HACCP小组</w:t>
            </w:r>
            <w:r>
              <w:rPr>
                <w:rFonts w:hint="eastAsia"/>
              </w:rPr>
              <w:t>是否</w:t>
            </w:r>
            <w:r>
              <w:t>重新进行危害识别。</w:t>
            </w:r>
          </w:p>
          <w:p>
            <w:pPr>
              <w:tabs>
                <w:tab w:val="right" w:pos="3119"/>
              </w:tabs>
            </w:pPr>
            <w:r>
              <w:rPr>
                <w:rFonts w:hint="eastAsia"/>
              </w:rPr>
              <w:t>是否</w:t>
            </w:r>
            <w:r>
              <w:t>保持危害识别依据和结果的记录。</w:t>
            </w:r>
          </w:p>
          <w:p>
            <w:pPr>
              <w:tabs>
                <w:tab w:val="right" w:pos="3119"/>
              </w:tabs>
              <w:rPr>
                <w:b/>
              </w:rPr>
            </w:pPr>
            <w:r>
              <w:rPr>
                <w:rFonts w:hint="eastAsia"/>
                <w:b/>
              </w:rPr>
              <w:t>最终产品：</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rFonts w:hint="eastAsia" w:eastAsia="宋体"/>
                      <w:b/>
                      <w:color w:val="0000FF"/>
                      <w:lang w:val="en-GB" w:eastAsia="zh-CN"/>
                    </w:rPr>
                  </w:pPr>
                  <w:r>
                    <w:rPr>
                      <w:rFonts w:hint="eastAsia"/>
                      <w:b/>
                      <w:color w:val="0000FF"/>
                      <w:lang w:val="en-US" w:eastAsia="zh-CN"/>
                    </w:rPr>
                    <w:t>主食类</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热菜类</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p>
              </w:tc>
              <w:tc>
                <w:tcPr>
                  <w:tcW w:w="6344" w:type="dxa"/>
                  <w:shd w:val="clear" w:color="auto" w:fill="auto"/>
                  <w:vAlign w:val="bottom"/>
                </w:tcPr>
                <w:p>
                  <w:pPr>
                    <w:rPr>
                      <w:b/>
                      <w:color w:val="0000FF"/>
                      <w:lang w:val="en-GB"/>
                    </w:rPr>
                  </w:pPr>
                </w:p>
              </w:tc>
            </w:tr>
          </w:tbl>
          <w:p>
            <w:pPr>
              <w:tabs>
                <w:tab w:val="right" w:pos="3119"/>
              </w:tabs>
              <w:rPr>
                <w:b/>
                <w:lang w:val="en-GB"/>
              </w:rPr>
            </w:pPr>
          </w:p>
          <w:p>
            <w:pPr>
              <w:tabs>
                <w:tab w:val="right" w:pos="3119"/>
              </w:tabs>
              <w:rPr>
                <w:b/>
                <w:lang w:val="en-GB"/>
              </w:rPr>
            </w:pPr>
            <w:r>
              <w:rPr>
                <w:rFonts w:hint="eastAsia"/>
                <w:b/>
                <w:lang w:val="en-GB"/>
              </w:rPr>
              <w:t>原辅材料：</w:t>
            </w:r>
          </w:p>
          <w:tbl>
            <w:tblPr>
              <w:tblStyle w:val="3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果蔬</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eastAsia"/>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酱油</w:t>
                  </w:r>
                </w:p>
              </w:tc>
              <w:tc>
                <w:tcPr>
                  <w:tcW w:w="353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53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洗洁精</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530"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控制措施的制定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针对每种显著危害，制定相应的控制措施，并提供证实其有效性的证据；</w:t>
            </w:r>
          </w:p>
          <w:p>
            <w:pPr>
              <w:rPr>
                <w:lang w:val="en-GB"/>
              </w:rPr>
            </w:pPr>
            <w:r>
              <w:rPr>
                <w:rFonts w:hint="eastAsia"/>
                <w:lang w:val="en-GB"/>
              </w:rPr>
              <w:t>当</w:t>
            </w:r>
            <w:r>
              <w:rPr>
                <w:lang w:val="en-GB"/>
              </w:rPr>
              <w:t>一项控制措施控制多种显著危害或多项控制措施控制一种显著危害的情况</w:t>
            </w:r>
            <w:r>
              <w:rPr>
                <w:rFonts w:hint="eastAsia"/>
                <w:color w:val="0000FF"/>
                <w:lang w:val="en-GB"/>
              </w:rPr>
              <w:t>是/否</w:t>
            </w:r>
            <w:r>
              <w:rPr>
                <w:lang w:val="en-GB"/>
              </w:rPr>
              <w:t>明确显著危害与控制措施之间的对应关系</w:t>
            </w:r>
            <w:r>
              <w:rPr>
                <w:rFonts w:hint="eastAsia"/>
                <w:lang w:val="en-GB"/>
              </w:rPr>
              <w:t>；</w:t>
            </w:r>
          </w:p>
          <w:p>
            <w:pPr>
              <w:rPr>
                <w:lang w:val="en-GB"/>
              </w:rPr>
            </w:pPr>
            <w:r>
              <w:rPr>
                <w:lang w:val="en-GB"/>
              </w:rPr>
              <w:t>当这些措施涉及操作的改变时，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做出相应的变更，并修改流程图。</w:t>
            </w:r>
          </w:p>
          <w:p>
            <w:pPr>
              <w:rPr>
                <w:lang w:val="en-GB"/>
              </w:rPr>
            </w:pPr>
            <w:r>
              <w:rPr>
                <w:lang w:val="en-GB"/>
              </w:rPr>
              <w:t>在现有技术条件下，某种显著危害不能制定有效控制措施时，</w:t>
            </w:r>
            <w:r>
              <w:rPr>
                <w:rFonts w:hint="eastAsia"/>
                <w:lang w:val="en-GB"/>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对所制定的控制措施予以确认。</w:t>
            </w:r>
          </w:p>
          <w:p>
            <w:pPr>
              <w:rPr>
                <w:lang w:val="en-GB"/>
              </w:rPr>
            </w:pPr>
            <w:r>
              <w:rPr>
                <w:lang w:val="en-GB"/>
              </w:rPr>
              <w:t>当控制措施有效性受到影响时，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评价、更新或改进控制措施，并再确认。</w:t>
            </w:r>
          </w:p>
          <w:p>
            <w:pPr>
              <w:tabs>
                <w:tab w:val="right" w:pos="3119"/>
              </w:tabs>
              <w:rPr>
                <w:lang w:val="en-GB"/>
              </w:rPr>
            </w:pPr>
            <w:r>
              <w:rPr>
                <w:rFonts w:hint="eastAsia"/>
                <w:lang w:val="en-GB"/>
              </w:rPr>
              <w:t>是否</w:t>
            </w:r>
            <w:r>
              <w:rPr>
                <w:lang w:val="en-GB"/>
              </w:rPr>
              <w:t>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rFonts w:hAnsi="宋体"/>
                <w:b/>
                <w:szCs w:val="21"/>
              </w:rPr>
            </w:pPr>
            <w:r>
              <w:rPr>
                <w:rFonts w:hAnsi="宋体"/>
                <w:b/>
                <w:szCs w:val="21"/>
              </w:rPr>
              <w:t>危害分析工作单</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pPr>
              <w:rPr>
                <w:lang w:val="en-GB"/>
              </w:rPr>
            </w:pPr>
            <w:r>
              <w:rPr>
                <w:lang w:val="en-GB"/>
              </w:rPr>
              <w:t>在危害分析工作单中，</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描述控制措施与相应显著危害的关系，为确定关键控制点提供依据。</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pPr>
              <w:autoSpaceDE w:val="0"/>
              <w:autoSpaceDN w:val="0"/>
              <w:adjustRightInd w:val="0"/>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关键控制点（CCP）的确定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确定CCP</w:t>
            </w:r>
          </w:p>
          <w:p>
            <w:pPr>
              <w:rPr>
                <w:lang w:val="en-GB"/>
              </w:rPr>
            </w:pPr>
            <w:r>
              <w:rPr>
                <w:lang w:val="en-GB"/>
              </w:rPr>
              <w:t>企业</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使用适宜方法来确定CCP</w:t>
            </w:r>
          </w:p>
          <w:p>
            <w:pPr>
              <w:rPr>
                <w:lang w:val="en-GB"/>
              </w:rPr>
            </w:pPr>
            <w:r>
              <w:rPr>
                <w:lang w:val="en-GB"/>
              </w:rPr>
              <w:t>当显著危害或控制措施发生变化时，HACCP小组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pPr>
              <w:autoSpaceDE w:val="0"/>
              <w:autoSpaceDN w:val="0"/>
              <w:adjustRightInd w:val="0"/>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关键限值（critical limit）的确定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为每个CCP建立关键限值</w:t>
            </w:r>
          </w:p>
          <w:p>
            <w:pPr>
              <w:rPr>
                <w:lang w:val="en-GB"/>
              </w:rPr>
            </w:pPr>
            <w:r>
              <w:rPr>
                <w:lang w:val="en-GB"/>
              </w:rPr>
              <w:t>关键限值</w:t>
            </w:r>
            <w:r>
              <w:rPr>
                <w:rFonts w:hint="eastAsia"/>
                <w:lang w:val="en-GB"/>
              </w:rPr>
              <w:t>的</w:t>
            </w:r>
            <w:r>
              <w:rPr>
                <w:lang w:val="en-GB"/>
              </w:rPr>
              <w:t>设立</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pPr>
              <w:rPr>
                <w:lang w:val="en-GB"/>
              </w:rPr>
            </w:pPr>
            <w:r>
              <w:rPr>
                <w:lang w:val="en-GB"/>
              </w:rPr>
              <w:t xml:space="preserve"> </w:t>
            </w:r>
            <w:r>
              <w:rPr>
                <w:rFonts w:hint="eastAsia"/>
                <w:lang w:val="en-GB"/>
              </w:rPr>
              <w:t>对于</w:t>
            </w:r>
            <w:r>
              <w:rPr>
                <w:lang w:val="en-GB"/>
              </w:rPr>
              <w:t>基于感知的关键限值，</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由经</w:t>
            </w:r>
            <w:r>
              <w:rPr>
                <w:rFonts w:hint="eastAsia"/>
                <w:lang w:val="en-GB"/>
              </w:rPr>
              <w:t>过</w:t>
            </w:r>
            <w:r>
              <w:rPr>
                <w:lang w:val="en-GB"/>
              </w:rPr>
              <w:t>能够胜任的人员进行监控、判定。</w:t>
            </w:r>
          </w:p>
          <w:p>
            <w:pPr>
              <w:rPr>
                <w:lang w:val="en-GB"/>
              </w:rPr>
            </w:pPr>
            <w:r>
              <w:rPr>
                <w:lang w:val="en-GB"/>
              </w:rPr>
              <w:t>HACCP小组</w:t>
            </w:r>
            <w:r>
              <w:rPr>
                <w:rFonts w:hint="eastAsia"/>
                <w:color w:val="0000FF"/>
                <w:lang w:val="en-GB"/>
              </w:rPr>
              <w:t>是/否</w:t>
            </w:r>
            <w:r>
              <w:rPr>
                <w:lang w:val="en-GB"/>
              </w:rPr>
              <w:t>建立CCP的操作限值</w:t>
            </w:r>
            <w:r>
              <w:rPr>
                <w:rFonts w:hint="eastAsia"/>
                <w:lang w:val="en-GB"/>
              </w:rPr>
              <w:t>以</w:t>
            </w:r>
            <w:r>
              <w:rPr>
                <w:lang w:val="en-GB"/>
              </w:rPr>
              <w:t>防止或减少偏离关键限值</w:t>
            </w:r>
          </w:p>
          <w:p>
            <w:pPr>
              <w:tabs>
                <w:tab w:val="right" w:pos="3119"/>
              </w:tabs>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w:t>
            </w:r>
            <w:r>
              <w:rPr>
                <w:rFonts w:hint="eastAsia"/>
                <w:lang w:val="en-GB"/>
              </w:rPr>
              <w:t>了</w:t>
            </w:r>
            <w:r>
              <w:rPr>
                <w:lang w:val="en-GB"/>
              </w:rPr>
              <w:t>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针对每个CCP制定包括监控对象、监控方法、监控频率、监控人员</w:t>
            </w:r>
            <w:r>
              <w:rPr>
                <w:rFonts w:hint="eastAsia" w:hAnsi="宋体"/>
              </w:rPr>
              <w:t>的监控</w:t>
            </w:r>
            <w:r>
              <w:rPr>
                <w:rFonts w:hAnsi="宋体"/>
              </w:rPr>
              <w:t>措施</w:t>
            </w:r>
            <w:r>
              <w:rPr>
                <w:rFonts w:hint="eastAsia" w:hAnsi="宋体"/>
              </w:rPr>
              <w:t>，</w:t>
            </w:r>
            <w:r>
              <w:rPr>
                <w:rFonts w:hAnsi="宋体"/>
              </w:rPr>
              <w:t>并</w:t>
            </w:r>
            <w:r>
              <w:rPr>
                <w:rFonts w:hint="eastAsia" w:hAnsi="宋体"/>
              </w:rPr>
              <w:t>有效的进行了</w:t>
            </w:r>
            <w:r>
              <w:rPr>
                <w:rFonts w:hAnsi="宋体"/>
              </w:rPr>
              <w:t>实施</w:t>
            </w:r>
          </w:p>
          <w:p>
            <w:pPr>
              <w:rPr>
                <w:rFonts w:hAnsi="宋体"/>
              </w:rPr>
            </w:pPr>
            <w:r>
              <w:rPr>
                <w:rFonts w:hAnsi="宋体"/>
              </w:rPr>
              <w:t>监控对象</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包括了</w:t>
            </w:r>
            <w:r>
              <w:rPr>
                <w:rFonts w:hAnsi="宋体"/>
              </w:rPr>
              <w:t>每个CCP所涉及的关键限值；</w:t>
            </w:r>
          </w:p>
          <w:p>
            <w:pPr>
              <w:rPr>
                <w:rFonts w:hAnsi="宋体"/>
              </w:rPr>
            </w:pPr>
            <w:r>
              <w:rPr>
                <w:rFonts w:hint="eastAsia" w:hAnsi="宋体"/>
              </w:rPr>
              <w:t xml:space="preserve"> </w:t>
            </w:r>
            <w:r>
              <w:rPr>
                <w:rFonts w:hAnsi="宋体"/>
              </w:rPr>
              <w:t>监控方法</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准确、及时；</w:t>
            </w:r>
          </w:p>
          <w:p>
            <w:pPr>
              <w:rPr>
                <w:rFonts w:hAnsi="宋体"/>
              </w:rPr>
            </w:pPr>
            <w:r>
              <w:rPr>
                <w:rFonts w:hAnsi="宋体"/>
              </w:rPr>
              <w:t>监控频率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适宜， 当</w:t>
            </w:r>
            <w:r>
              <w:rPr>
                <w:rFonts w:hAnsi="宋体"/>
              </w:rPr>
              <w:t>采用非连续监控时，其频次应能保证CCP受控的需要；</w:t>
            </w:r>
          </w:p>
          <w:p>
            <w:pPr>
              <w:rPr>
                <w:rFonts w:hAnsi="宋体"/>
              </w:rPr>
            </w:pPr>
            <w:r>
              <w:rPr>
                <w:rFonts w:hAnsi="宋体"/>
              </w:rPr>
              <w:t>监控人员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接受</w:t>
            </w:r>
            <w:r>
              <w:rPr>
                <w:rFonts w:hint="eastAsia" w:hAnsi="宋体"/>
              </w:rPr>
              <w:t>过</w:t>
            </w:r>
            <w:r>
              <w:rPr>
                <w:rFonts w:hAnsi="宋体"/>
              </w:rPr>
              <w:t>适当的培训</w:t>
            </w:r>
            <w:r>
              <w:rPr>
                <w:rFonts w:hint="eastAsia" w:hAnsi="宋体"/>
              </w:rPr>
              <w:t>，是否能</w:t>
            </w:r>
            <w:r>
              <w:rPr>
                <w:rFonts w:hAnsi="宋体"/>
              </w:rPr>
              <w:t>及时准确地记录和报告监控结果</w:t>
            </w:r>
          </w:p>
          <w:p>
            <w:pPr>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对发生</w:t>
            </w:r>
            <w:r>
              <w:rPr>
                <w:rFonts w:hAnsi="宋体"/>
              </w:rPr>
              <w:t>偏离操作限值，及时采取纠偏</w:t>
            </w:r>
            <w:r>
              <w:rPr>
                <w:rFonts w:hint="eastAsia" w:hAnsi="宋体"/>
              </w:rPr>
              <w:t>以防止再发生</w:t>
            </w:r>
          </w:p>
          <w:p>
            <w:pPr>
              <w:tabs>
                <w:tab w:val="right" w:pos="3119"/>
              </w:tabs>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针对CCP的每个关键限值的偏离预先制定纠偏措施</w:t>
            </w:r>
          </w:p>
          <w:p>
            <w:r>
              <w:t>纠偏措施</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包括实施纠偏措施和负责受影响产品放行的人员；偏离原因的识别和消除；受影响产品的隔离、评估和处理。</w:t>
            </w:r>
          </w:p>
          <w:p>
            <w:r>
              <w:t>在</w:t>
            </w:r>
            <w:r>
              <w:rPr>
                <w:rFonts w:hint="eastAsia"/>
              </w:rPr>
              <w:t>对偏离时的产品</w:t>
            </w:r>
            <w:r>
              <w:t>，</w:t>
            </w:r>
            <w:r>
              <w:rPr>
                <w:rFonts w:hint="eastAsia"/>
              </w:rPr>
              <w:t>如何处理</w:t>
            </w:r>
          </w:p>
          <w:p>
            <w:r>
              <w:t>纠偏人员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熟悉产品、HACCP计划，</w:t>
            </w:r>
            <w:r>
              <w:rPr>
                <w:rFonts w:hint="eastAsia"/>
              </w:rPr>
              <w:t>是否</w:t>
            </w:r>
            <w:r>
              <w:t>经过适当培训并经授权。</w:t>
            </w:r>
          </w:p>
          <w:p>
            <w:pPr>
              <w:tabs>
                <w:tab w:val="right" w:pos="3119"/>
              </w:tabs>
            </w:pPr>
            <w:r>
              <w:t>当某个关键限值的监视结果反复发生偏离或偏离原因涉及相应控制措施的控制能力时，HACCP小组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r>
              <w:rPr>
                <w:color w:val="0000FF"/>
              </w:rPr>
              <w:t xml:space="preserve"> </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7.8HACCP计划的确认和验证</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建立HACCP计划的确认和验证程序</w:t>
            </w:r>
          </w:p>
          <w:p>
            <w:r>
              <w:t>验证程序</w:t>
            </w:r>
            <w:r>
              <w:rPr>
                <w:rFonts w:hint="eastAsia"/>
              </w:rPr>
              <w:t>内容</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包括：验证的依据和方法、验证的频次、验证的人员、验证的内容、验证结果及采取的措施、验证记录等。</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color w:val="0000FF"/>
                <w:szCs w:val="21"/>
                <w:u w:val="single"/>
              </w:rPr>
              <w:t xml:space="preserve"> </w:t>
            </w:r>
            <w:r>
              <w:rPr>
                <w:rFonts w:hint="eastAsia"/>
                <w:color w:val="0000FF"/>
                <w:szCs w:val="21"/>
              </w:rPr>
              <w:t>日，进行确认了HACCP计划。</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rPr>
              <w:t>日，进行验证了HACCP计划。</w:t>
            </w:r>
          </w:p>
          <w:p/>
          <w:p>
            <w:r>
              <w:t>监控设备</w:t>
            </w:r>
            <w:r>
              <w:rPr>
                <w:rFonts w:hint="eastAsia"/>
                <w:color w:val="0000FF"/>
              </w:rPr>
              <w:t>是/否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r>
              <w:rPr>
                <w:rFonts w:hint="eastAsia"/>
              </w:rPr>
              <w:t>本审核证实该公司规定的监视和测量方法适合监视和测量程序。具体参见下例：</w:t>
            </w:r>
          </w:p>
          <w:p>
            <w:pPr>
              <w:widowControl/>
              <w:numPr>
                <w:ilvl w:val="0"/>
                <w:numId w:val="23"/>
              </w:numPr>
              <w:spacing w:before="60" w:after="60"/>
              <w:rPr>
                <w:rFonts w:eastAsia="Times New Roman"/>
                <w:color w:val="FF0000"/>
                <w:lang w:val="de-DE"/>
              </w:rPr>
            </w:pPr>
            <w:r>
              <w:rPr>
                <w:rFonts w:hint="eastAsia"/>
                <w:color w:val="FF0000"/>
              </w:rPr>
              <w:t xml:space="preserve">笔式温度计   </w:t>
            </w:r>
            <w:r>
              <w:rPr>
                <w:rFonts w:hint="eastAsia"/>
                <w:color w:val="FF0000"/>
                <w:lang w:val="en-US" w:eastAsia="zh-CN"/>
              </w:rPr>
              <w:t>无证据表明对笔试温度计进行校准/检定——见不符合报告03</w:t>
            </w:r>
          </w:p>
          <w:p>
            <w:pPr>
              <w:widowControl/>
              <w:numPr>
                <w:ilvl w:val="0"/>
                <w:numId w:val="23"/>
              </w:numPr>
              <w:spacing w:before="60" w:after="60"/>
              <w:rPr>
                <w:rFonts w:eastAsia="Times New Roman"/>
                <w:color w:val="0000FF"/>
                <w:lang w:val="de-DE"/>
              </w:rPr>
            </w:pPr>
            <w:r>
              <w:rPr>
                <w:rFonts w:hint="eastAsia" w:eastAsia="Times New Roman"/>
                <w:color w:val="0000FF"/>
                <w:lang w:val="de-DE"/>
              </w:rPr>
              <w:t xml:space="preserve">电子台秤 </w:t>
            </w:r>
            <w:r>
              <w:rPr>
                <w:rFonts w:hint="eastAsia"/>
                <w:color w:val="0000FF"/>
                <w:lang w:val="en-US" w:eastAsia="zh-CN"/>
              </w:rPr>
              <w:t xml:space="preserve">    </w:t>
            </w:r>
            <w:r>
              <w:rPr>
                <w:rFonts w:hint="eastAsia" w:eastAsia="Times New Roman"/>
                <w:color w:val="0000FF"/>
                <w:lang w:val="de-DE"/>
              </w:rPr>
              <w:t xml:space="preserve">证书编号 第60020409号 </w:t>
            </w:r>
            <w:r>
              <w:rPr>
                <w:rFonts w:hint="eastAsia"/>
                <w:color w:val="0000FF"/>
                <w:lang w:val="en-US" w:eastAsia="zh-CN"/>
              </w:rPr>
              <w:t xml:space="preserve">   </w:t>
            </w:r>
            <w:r>
              <w:rPr>
                <w:rFonts w:hint="eastAsia"/>
                <w:color w:val="0000FF"/>
              </w:rPr>
              <w:t>有效期至</w:t>
            </w:r>
            <w:r>
              <w:rPr>
                <w:rFonts w:hint="eastAsia" w:eastAsia="Times New Roman"/>
                <w:color w:val="0000FF"/>
                <w:lang w:val="de-DE"/>
              </w:rPr>
              <w:t xml:space="preserve">2021-09-20 </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将</w:t>
            </w:r>
            <w:r>
              <w:t>验证的结果需要输入到管理评审中</w:t>
            </w:r>
          </w:p>
          <w:p>
            <w:r>
              <w:t>当验证结果不符合要求时，</w:t>
            </w:r>
            <w:r>
              <w:rPr>
                <w:rFonts w:hint="eastAsia" w:ascii="宋体" w:hAnsi="宋体"/>
                <w:color w:val="0000FF"/>
              </w:rPr>
              <w:t>□</w:t>
            </w:r>
            <w:r>
              <w:rPr>
                <w:color w:val="0000FF"/>
              </w:rPr>
              <w:t>是</w:t>
            </w:r>
            <w:r>
              <w:rPr>
                <w:rFonts w:hint="eastAsia"/>
                <w:color w:val="0000FF"/>
              </w:rPr>
              <w:t>/</w:t>
            </w:r>
            <w:r>
              <w:rPr>
                <w:rFonts w:hint="eastAsia" w:ascii="宋体" w:hAnsi="宋体"/>
                <w:color w:val="0000FF"/>
              </w:rPr>
              <w:t>□</w:t>
            </w:r>
            <w:r>
              <w:rPr>
                <w:color w:val="0000FF"/>
              </w:rPr>
              <w:t>否</w:t>
            </w:r>
            <w:r>
              <w:t>采取纠正措施并进行再验证</w:t>
            </w:r>
            <w:r>
              <w:rPr>
                <w:rFonts w:hint="eastAsia"/>
              </w:rPr>
              <w:t>——</w:t>
            </w:r>
            <w:r>
              <w:t>未发生</w:t>
            </w:r>
          </w:p>
          <w:p>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rPr>
                <w:b/>
              </w:rPr>
            </w:pPr>
          </w:p>
          <w:p>
            <w:pPr>
              <w:rPr>
                <w:b/>
              </w:rPr>
            </w:pPr>
            <w:r>
              <w:rPr>
                <w:rFonts w:hint="eastAsia"/>
                <w:b/>
              </w:rPr>
              <w:t>其他方面的的验证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按照策划的要求进行了验证</w:t>
            </w:r>
          </w:p>
          <w:p>
            <w:r>
              <w:rPr>
                <w:rFonts w:hint="eastAsia"/>
              </w:rPr>
              <w:t>验证结果</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符合要求</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HACCP计划记录的保持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保持HACCP计划制定、运行、验证等记录。</w:t>
            </w:r>
          </w:p>
          <w:p>
            <w:r>
              <w:t>HACCP计划记录的控制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与体系记录的控制一致。</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保持了</w:t>
            </w:r>
            <w:r>
              <w:t>HACCP计划</w:t>
            </w:r>
            <w:r>
              <w:rPr>
                <w:rFonts w:hint="eastAsia"/>
              </w:rPr>
              <w:t>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highlight w:val="none"/>
              </w:rPr>
            </w:pPr>
            <w:r>
              <w:rPr>
                <w:rFonts w:hint="eastAsia" w:ascii="宋体" w:hAnsi="宋体"/>
                <w:highlight w:val="none"/>
              </w:rPr>
              <w:t>■</w:t>
            </w:r>
            <w:r>
              <w:rPr>
                <w:color w:val="0000FF"/>
                <w:highlight w:val="none"/>
              </w:rPr>
              <w:t>是</w:t>
            </w:r>
            <w:r>
              <w:rPr>
                <w:rFonts w:hint="eastAsia"/>
                <w:color w:val="0000FF"/>
                <w:highlight w:val="none"/>
              </w:rPr>
              <w:t>/</w:t>
            </w:r>
            <w:r>
              <w:rPr>
                <w:rFonts w:hint="eastAsia" w:ascii="宋体" w:hAnsi="宋体"/>
                <w:color w:val="0000FF"/>
                <w:highlight w:val="none"/>
              </w:rPr>
              <w:t>□</w:t>
            </w:r>
            <w:r>
              <w:rPr>
                <w:color w:val="0000FF"/>
                <w:highlight w:val="none"/>
              </w:rPr>
              <w:t>否</w:t>
            </w:r>
            <w:r>
              <w:rPr>
                <w:highlight w:val="none"/>
              </w:rPr>
              <w:t>针对</w:t>
            </w:r>
            <w:r>
              <w:rPr>
                <w:rFonts w:hint="eastAsia"/>
                <w:highlight w:val="none"/>
              </w:rPr>
              <w:t>人为</w:t>
            </w:r>
            <w:r>
              <w:rPr>
                <w:highlight w:val="none"/>
              </w:rPr>
              <w:t>破坏或蓄意污染等造成的显著危害</w:t>
            </w:r>
            <w:r>
              <w:rPr>
                <w:rFonts w:hint="eastAsia"/>
                <w:highlight w:val="none"/>
              </w:rPr>
              <w:t>建立</w:t>
            </w:r>
            <w:r>
              <w:rPr>
                <w:highlight w:val="none"/>
              </w:rPr>
              <w:t>了食品防护计划</w:t>
            </w:r>
            <w:r>
              <w:rPr>
                <w:rFonts w:hint="eastAsia"/>
                <w:highlight w:val="none"/>
              </w:rPr>
              <w:t>，最大限度地减少或消除致敏物质交叉污染。</w:t>
            </w:r>
          </w:p>
          <w:p>
            <w:pPr>
              <w:autoSpaceDE w:val="0"/>
              <w:autoSpaceDN w:val="0"/>
              <w:adjustRightInd w:val="0"/>
              <w:rPr>
                <w:highlight w:val="none"/>
              </w:rPr>
            </w:pPr>
            <w:r>
              <w:rPr>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u w:val="single"/>
              </w:rPr>
              <w:t xml:space="preserve">  </w:t>
            </w:r>
            <w:r>
              <w:rPr>
                <w:rFonts w:hint="eastAsia"/>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20</w:t>
            </w:r>
            <w:r>
              <w:rPr>
                <w:color w:val="0000FF"/>
                <w:szCs w:val="21"/>
                <w:highlight w:val="none"/>
                <w:u w:val="single"/>
              </w:rPr>
              <w:t xml:space="preserve">  </w:t>
            </w:r>
            <w:r>
              <w:rPr>
                <w:rFonts w:hint="eastAsia"/>
                <w:color w:val="0000FF"/>
                <w:szCs w:val="21"/>
                <w:highlight w:val="none"/>
              </w:rPr>
              <w:t>日</w:t>
            </w:r>
            <w:r>
              <w:rPr>
                <w:highlight w:val="none"/>
              </w:rPr>
              <w:t>证实其有效性</w:t>
            </w:r>
            <w:r>
              <w:rPr>
                <w:rFonts w:hint="eastAsia"/>
                <w:highlight w:val="none"/>
              </w:rPr>
              <w:t>。</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所有食品加工过程及设施的致敏物质管理方案，</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bookmarkStart w:id="5" w:name="_GoBack"/>
            <w:bookmarkEnd w:id="5"/>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pPr>
              <w:tabs>
                <w:tab w:val="right" w:pos="3119"/>
              </w:tabs>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color="auto" w:sz="4" w:space="0"/>
              <w:left w:val="single" w:color="auto" w:sz="4" w:space="0"/>
              <w:bottom w:val="single" w:color="auto" w:sz="4" w:space="0"/>
              <w:right w:val="single" w:color="auto" w:sz="4" w:space="0"/>
            </w:tcBorders>
            <w:vAlign w:val="center"/>
          </w:tcPr>
          <w:p>
            <w:pPr>
              <w:rPr>
                <w:color w:val="0000FF"/>
              </w:rPr>
            </w:pPr>
            <w:r>
              <w:rPr>
                <w:rFonts w:hint="eastAsia"/>
                <w:color w:val="0000FF"/>
              </w:rPr>
              <w:t>抽查检测报告的编号：</w:t>
            </w:r>
            <w:r>
              <w:rPr>
                <w:rFonts w:hint="eastAsia"/>
                <w:color w:val="0000FF"/>
                <w:u w:val="single"/>
              </w:rPr>
              <w:t xml:space="preserve">  _</w:t>
            </w:r>
            <w:r>
              <w:rPr>
                <w:rFonts w:hint="eastAsia"/>
                <w:color w:val="0000FF"/>
                <w:u w:val="single"/>
                <w:lang w:val="en-US" w:eastAsia="zh-CN"/>
              </w:rPr>
              <w:t>WT</w:t>
            </w:r>
            <w:r>
              <w:rPr>
                <w:rFonts w:hint="eastAsia"/>
                <w:color w:val="0000FF"/>
                <w:u w:val="single"/>
              </w:rPr>
              <w:t>20200828006</w:t>
            </w:r>
            <w:r>
              <w:rPr>
                <w:rFonts w:hint="eastAsia"/>
                <w:color w:val="0000FF"/>
                <w:u w:val="single"/>
                <w:lang w:val="en-US" w:eastAsia="zh-CN"/>
              </w:rPr>
              <w:t>/WT</w:t>
            </w:r>
            <w:r>
              <w:rPr>
                <w:rFonts w:hint="eastAsia"/>
                <w:color w:val="0000FF"/>
                <w:u w:val="single"/>
              </w:rPr>
              <w:t>2020082800</w:t>
            </w:r>
            <w:r>
              <w:rPr>
                <w:rFonts w:hint="eastAsia"/>
                <w:color w:val="0000FF"/>
                <w:u w:val="single"/>
                <w:lang w:val="en-US" w:eastAsia="zh-CN"/>
              </w:rPr>
              <w:t>7/WT</w:t>
            </w:r>
            <w:r>
              <w:rPr>
                <w:rFonts w:hint="eastAsia"/>
                <w:color w:val="0000FF"/>
                <w:u w:val="single"/>
              </w:rPr>
              <w:t>2020082800</w:t>
            </w:r>
            <w:r>
              <w:rPr>
                <w:rFonts w:hint="eastAsia"/>
                <w:color w:val="0000FF"/>
                <w:u w:val="single"/>
                <w:lang w:val="en-US" w:eastAsia="zh-CN"/>
              </w:rPr>
              <w:t>8</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w:t>
            </w:r>
            <w:r>
              <w:rPr>
                <w:rFonts w:hint="eastAsia"/>
                <w:color w:val="0000FF"/>
                <w:u w:val="single"/>
                <w:lang w:val="en-US" w:eastAsia="zh-CN"/>
              </w:rPr>
              <w:t>河南省安之源食品检测有限公司</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20</w:t>
            </w:r>
            <w:r>
              <w:rPr>
                <w:color w:val="0000FF"/>
                <w:u w:val="single"/>
              </w:rPr>
              <w:t>20</w:t>
            </w:r>
            <w:r>
              <w:rPr>
                <w:rFonts w:hint="eastAsia"/>
                <w:color w:val="0000FF"/>
                <w:u w:val="single"/>
              </w:rPr>
              <w:t>-</w:t>
            </w:r>
            <w:r>
              <w:rPr>
                <w:color w:val="0000FF"/>
                <w:u w:val="single"/>
              </w:rPr>
              <w:t>0</w:t>
            </w:r>
            <w:r>
              <w:rPr>
                <w:rFonts w:hint="eastAsia"/>
                <w:color w:val="0000FF"/>
                <w:u w:val="single"/>
                <w:lang w:val="en-US" w:eastAsia="zh-CN"/>
              </w:rPr>
              <w:t>9-03</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碗、</w:t>
            </w:r>
            <w:r>
              <w:rPr>
                <w:rFonts w:hint="eastAsia"/>
                <w:color w:val="0000FF"/>
                <w:u w:val="single"/>
                <w:lang w:val="en-US" w:eastAsia="zh-CN"/>
              </w:rPr>
              <w:t>勺子</w:t>
            </w:r>
            <w:r>
              <w:rPr>
                <w:rFonts w:hint="eastAsia"/>
                <w:color w:val="0000FF"/>
                <w:u w:val="single"/>
              </w:rPr>
              <w:t xml:space="preserve">、筷子、    </w:t>
            </w:r>
          </w:p>
          <w:p>
            <w:pPr>
              <w:rPr>
                <w:color w:val="0000FF"/>
              </w:rPr>
            </w:pPr>
            <w:r>
              <w:rPr>
                <w:rFonts w:hint="eastAsia"/>
                <w:color w:val="0000FF"/>
              </w:rPr>
              <w:t>检测执行的标准：</w:t>
            </w:r>
            <w:r>
              <w:rPr>
                <w:rFonts w:hint="eastAsia"/>
                <w:color w:val="0000FF"/>
                <w:u w:val="single"/>
              </w:rPr>
              <w:t xml:space="preserve">   GB14934-2016《食品安全国家标准 消毒餐(饮)具》          </w:t>
            </w:r>
          </w:p>
          <w:p>
            <w:pPr>
              <w:rPr>
                <w:color w:val="000000"/>
              </w:rPr>
            </w:pPr>
            <w:r>
              <w:rPr>
                <w:rFonts w:hint="eastAsia"/>
              </w:rPr>
              <w:t>检验机构</w:t>
            </w:r>
            <w:r>
              <w:rPr>
                <w:rFonts w:hint="eastAsia"/>
                <w:color w:val="000000"/>
              </w:rPr>
              <w:t>通过实验室认可</w:t>
            </w:r>
            <w:r>
              <w:rPr>
                <w:rFonts w:hint="eastAsia"/>
                <w:color w:val="000000"/>
                <w:lang w:val="en-US" w:eastAsia="zh-CN"/>
              </w:rPr>
              <w:t xml:space="preserve">            </w:t>
            </w:r>
            <w:r>
              <w:rPr>
                <w:rFonts w:hint="eastAsia"/>
                <w:color w:val="0000FF"/>
                <w:szCs w:val="21"/>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color w:val="000000"/>
                <w:lang w:val="en-US" w:eastAsia="zh-CN"/>
              </w:rPr>
              <w:t xml:space="preserve">           </w:t>
            </w:r>
            <w:r>
              <w:rPr>
                <w:rFonts w:hint="eastAsia"/>
                <w:color w:val="000000"/>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color w:val="000000"/>
                <w:lang w:val="en-GB" w:eastAsia="zh-CN"/>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lang w:eastAsia="zh-CN"/>
              </w:rPr>
              <w:t>□</w:t>
            </w:r>
            <w:r>
              <w:rPr>
                <w:rFonts w:hint="eastAsia"/>
                <w:color w:val="000000"/>
                <w:lang w:val="en-GB"/>
              </w:rPr>
              <w:t xml:space="preserve">依据相关规定使用标志和证书（如：名片、公司宣传册、网站等等）。具体使用信息 </w:t>
            </w:r>
            <w:r>
              <w:rPr>
                <w:color w:val="000000"/>
                <w:lang w:val="en-GB"/>
              </w:rPr>
              <w:t>…..</w:t>
            </w:r>
          </w:p>
        </w:tc>
      </w:tr>
    </w:tbl>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标准条款</w:t>
            </w:r>
            <w:r>
              <w:rPr>
                <w:highlight w:val="none"/>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val="en-US" w:eastAsia="zh-CN"/>
              </w:rPr>
            </w:pPr>
            <w:r>
              <w:rPr>
                <w:rFonts w:hint="eastAsia"/>
                <w:color w:val="000000"/>
                <w:highlight w:val="none"/>
              </w:rPr>
              <w:t>0</w:t>
            </w:r>
            <w:r>
              <w:rPr>
                <w:color w:val="000000"/>
                <w:highlight w:val="none"/>
              </w:rPr>
              <w:t>1</w:t>
            </w:r>
            <w:r>
              <w:rPr>
                <w:rFonts w:hint="eastAsia"/>
                <w:color w:val="000000"/>
                <w:highlight w:val="none"/>
                <w:lang w:val="en-US" w:eastAsia="zh-CN"/>
              </w:rPr>
              <w:t>/</w:t>
            </w:r>
            <w:r>
              <w:rPr>
                <w:rFonts w:hint="eastAsia"/>
                <w:color w:val="000000"/>
                <w:highlight w:val="none"/>
              </w:rPr>
              <w:t>0</w:t>
            </w:r>
            <w:r>
              <w:rPr>
                <w:rFonts w:hint="eastAsia"/>
                <w:color w:val="000000"/>
                <w:highlight w:val="none"/>
                <w:lang w:val="en-US" w:eastAsia="zh-CN"/>
              </w:rPr>
              <w:t>2</w:t>
            </w:r>
          </w:p>
        </w:tc>
      </w:tr>
    </w:tbl>
    <w:p>
      <w:pPr>
        <w:autoSpaceDE w:val="0"/>
        <w:autoSpaceDN w:val="0"/>
        <w:adjustRightInd w:val="0"/>
        <w:snapToGrid w:val="0"/>
        <w:spacing w:before="120"/>
        <w:ind w:left="101"/>
      </w:pP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rPr>
                <w:highlight w:val="none"/>
              </w:rPr>
            </w:pPr>
            <w:r>
              <w:rPr>
                <w:rFonts w:hint="eastAsia"/>
                <w:highlight w:val="none"/>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rPr>
              <w:t>0</w:t>
            </w:r>
            <w:r>
              <w:rPr>
                <w:rFonts w:hint="eastAsia"/>
                <w:color w:val="000000"/>
                <w:highlight w:val="none"/>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bookmarkStart w:id="2" w:name="OLE_LINK80"/>
      <w:bookmarkStart w:id="3" w:name="OLE_LINK79"/>
      <w:r>
        <w:rPr>
          <w:rFonts w:hint="eastAsia"/>
        </w:rPr>
        <w:t>附件：</w:t>
      </w:r>
    </w:p>
    <w:p>
      <w:pPr>
        <w:widowControl/>
        <w:numPr>
          <w:ilvl w:val="0"/>
          <w:numId w:val="24"/>
        </w:numPr>
        <w:spacing w:before="40" w:after="40"/>
      </w:pPr>
      <w:r>
        <w:rPr>
          <w:rFonts w:hint="eastAsia"/>
        </w:rPr>
        <w:t>首、末次会议的签到记录表</w:t>
      </w:r>
    </w:p>
    <w:p>
      <w:pPr>
        <w:widowControl/>
        <w:numPr>
          <w:ilvl w:val="0"/>
          <w:numId w:val="24"/>
        </w:numPr>
        <w:spacing w:before="40" w:after="40"/>
      </w:pPr>
      <w:r>
        <w:rPr>
          <w:rFonts w:hint="eastAsia"/>
        </w:rPr>
        <w:t>（其他必要的的用于证明相关事实的证据或记录）</w:t>
      </w:r>
      <w:r>
        <w:t>….</w:t>
      </w:r>
    </w:p>
    <w:bookmarkEnd w:id="2"/>
    <w:bookmarkEnd w:id="3"/>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30"/>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46"/>
              <w:rPr>
                <w:lang w:eastAsia="zh-CN"/>
              </w:rPr>
            </w:pPr>
            <w:r>
              <w:rPr>
                <w:rFonts w:hint="eastAsia"/>
                <w:lang w:eastAsia="zh-CN"/>
              </w:rPr>
              <w:t xml:space="preserve"> 序号</w:t>
            </w:r>
          </w:p>
        </w:tc>
        <w:tc>
          <w:tcPr>
            <w:tcW w:w="1569" w:type="dxa"/>
            <w:shd w:val="clear" w:color="auto" w:fill="auto"/>
          </w:tcPr>
          <w:p>
            <w:pPr>
              <w:pStyle w:val="46"/>
              <w:rPr>
                <w:lang w:eastAsia="zh-CN"/>
              </w:rPr>
            </w:pPr>
            <w:r>
              <w:rPr>
                <w:rFonts w:hint="eastAsia"/>
                <w:lang w:eastAsia="zh-CN"/>
              </w:rPr>
              <w:t>过程步骤</w:t>
            </w:r>
          </w:p>
        </w:tc>
        <w:tc>
          <w:tcPr>
            <w:tcW w:w="2301" w:type="dxa"/>
            <w:shd w:val="clear" w:color="auto" w:fill="auto"/>
          </w:tcPr>
          <w:p>
            <w:pPr>
              <w:pStyle w:val="46"/>
              <w:rPr>
                <w:lang w:eastAsia="zh-CN"/>
              </w:rPr>
            </w:pPr>
            <w:r>
              <w:rPr>
                <w:rFonts w:hint="eastAsia"/>
                <w:lang w:eastAsia="zh-CN"/>
              </w:rPr>
              <w:t>危害</w:t>
            </w:r>
          </w:p>
        </w:tc>
        <w:tc>
          <w:tcPr>
            <w:tcW w:w="2160" w:type="dxa"/>
            <w:shd w:val="clear" w:color="auto" w:fill="auto"/>
          </w:tcPr>
          <w:p>
            <w:pPr>
              <w:pStyle w:val="46"/>
              <w:rPr>
                <w:lang w:eastAsia="zh-CN"/>
              </w:rPr>
            </w:pPr>
            <w:r>
              <w:rPr>
                <w:rFonts w:hint="eastAsia"/>
                <w:lang w:eastAsia="zh-CN"/>
              </w:rPr>
              <w:t>监控程序</w:t>
            </w:r>
          </w:p>
        </w:tc>
        <w:tc>
          <w:tcPr>
            <w:tcW w:w="2520" w:type="dxa"/>
            <w:shd w:val="clear" w:color="auto" w:fill="auto"/>
          </w:tcPr>
          <w:p>
            <w:pPr>
              <w:pStyle w:val="46"/>
              <w:rPr>
                <w:lang w:val="fr-FR" w:eastAsia="zh-CN"/>
              </w:rPr>
            </w:pPr>
            <w:r>
              <w:rPr>
                <w:rFonts w:hint="eastAsia"/>
                <w:lang w:val="fr-FR" w:eastAsia="zh-CN"/>
              </w:rPr>
              <w:t>关键限值</w:t>
            </w:r>
          </w:p>
        </w:tc>
        <w:tc>
          <w:tcPr>
            <w:tcW w:w="840" w:type="dxa"/>
            <w:shd w:val="clear" w:color="auto" w:fill="auto"/>
          </w:tcPr>
          <w:p>
            <w:pPr>
              <w:pStyle w:val="46"/>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eastAsia="zh-CN"/>
              </w:rPr>
            </w:pPr>
            <w:r>
              <w:rPr>
                <w:color w:val="0000FF"/>
                <w:sz w:val="18"/>
                <w:szCs w:val="18"/>
              </w:rPr>
              <w:t>CCP</w:t>
            </w:r>
            <w:r>
              <w:rPr>
                <w:rFonts w:hint="eastAsia"/>
                <w:color w:val="0000FF"/>
                <w:sz w:val="18"/>
                <w:szCs w:val="18"/>
                <w:lang w:val="en-US" w:eastAsia="zh-CN"/>
              </w:rPr>
              <w:t>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bCs/>
                <w:color w:val="0000FF"/>
              </w:rPr>
              <w:t xml:space="preserve"> </w:t>
            </w:r>
            <w:r>
              <w:rPr>
                <w:rFonts w:hint="eastAsia" w:cs="宋体"/>
                <w:kern w:val="0"/>
                <w:szCs w:val="22"/>
              </w:rPr>
              <w:t>在出锅时测量；</w:t>
            </w:r>
            <w:r>
              <w:rPr>
                <w:rFonts w:hint="eastAsia"/>
                <w:color w:val="0000FF"/>
              </w:rPr>
              <w:t>使用</w:t>
            </w:r>
            <w:r>
              <w:rPr>
                <w:rFonts w:hint="eastAsia"/>
                <w:color w:val="0000FF"/>
                <w:lang w:val="en-US" w:eastAsia="zh-CN"/>
              </w:rPr>
              <w:t>笔</w:t>
            </w:r>
            <w:r>
              <w:rPr>
                <w:rFonts w:hint="eastAsia"/>
                <w:color w:val="0000FF"/>
              </w:rPr>
              <w:t>式温度计</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中心</w:t>
            </w:r>
            <w:r>
              <w:rPr>
                <w:color w:val="0000FF"/>
              </w:rPr>
              <w:t>温度</w:t>
            </w:r>
            <w:r>
              <w:rPr>
                <w:rFonts w:hint="eastAsia" w:eastAsia="楷体_GB2312"/>
                <w:color w:val="0000FF"/>
                <w:spacing w:val="-3"/>
                <w:lang w:val="en-US" w:eastAsia="zh-CN"/>
              </w:rPr>
              <w:t>≥75℃</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0000FF"/>
                <w:kern w:val="2"/>
                <w:sz w:val="18"/>
                <w:szCs w:val="18"/>
                <w:lang w:val="en-US" w:eastAsia="zh-CN" w:bidi="ar-SA"/>
              </w:rPr>
            </w:pPr>
            <w:r>
              <w:rPr>
                <w:rFonts w:hint="eastAsia"/>
                <w:color w:val="0000FF"/>
                <w:sz w:val="18"/>
                <w:szCs w:val="18"/>
              </w:rPr>
              <w:t>CCP</w:t>
            </w:r>
            <w:r>
              <w:rPr>
                <w:rFonts w:hint="eastAsia"/>
                <w:color w:val="0000FF"/>
                <w:sz w:val="18"/>
                <w:szCs w:val="18"/>
                <w:lang w:val="en-US" w:eastAsia="zh-CN"/>
              </w:rPr>
              <w:t>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r>
              <w:rPr>
                <w:rFonts w:hint="eastAsia" w:cs="宋体"/>
                <w:color w:val="0000FF"/>
                <w:kern w:val="0"/>
                <w:szCs w:val="22"/>
              </w:rPr>
              <w:t>配料</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color w:val="0000FF"/>
                <w:kern w:val="0"/>
                <w:szCs w:val="22"/>
              </w:rPr>
            </w:pPr>
            <w:r>
              <w:rPr>
                <w:rFonts w:hint="eastAsia" w:cs="宋体"/>
                <w:color w:val="0000FF"/>
                <w:kern w:val="0"/>
                <w:szCs w:val="22"/>
              </w:rPr>
              <w:t>化学性危害：</w:t>
            </w:r>
          </w:p>
          <w:p>
            <w:pPr>
              <w:jc w:val="left"/>
              <w:rPr>
                <w:rFonts w:hint="eastAsia" w:ascii="Times New Roman" w:hAnsi="Times New Roman" w:eastAsia="宋体" w:cs="Times New Roman"/>
                <w:color w:val="0000FF"/>
                <w:kern w:val="2"/>
                <w:sz w:val="21"/>
                <w:szCs w:val="24"/>
                <w:lang w:val="fr-FR" w:eastAsia="zh-CN" w:bidi="ar-SA"/>
              </w:rPr>
            </w:pPr>
            <w:r>
              <w:rPr>
                <w:rFonts w:hint="eastAsia"/>
                <w:color w:val="0000FF"/>
                <w:lang w:val="fr-FR"/>
              </w:rPr>
              <w:t>添加剂超标</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bCs/>
                <w:color w:val="0000FF"/>
              </w:rPr>
            </w:pPr>
            <w:r>
              <w:rPr>
                <w:rFonts w:hint="eastAsia" w:cs="宋体"/>
                <w:color w:val="0000FF"/>
                <w:kern w:val="0"/>
                <w:szCs w:val="22"/>
              </w:rPr>
              <w:t>每次添加时计量添加剂的量；</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color w:val="0000FF"/>
              </w:rPr>
            </w:pPr>
            <w:r>
              <w:rPr>
                <w:rFonts w:hint="eastAsia"/>
                <w:color w:val="0000FF"/>
                <w:lang w:val="en-US" w:eastAsia="zh-CN"/>
              </w:rPr>
              <w:t>复核膨松剂（双效</w:t>
            </w:r>
            <w:r>
              <w:rPr>
                <w:rFonts w:hint="eastAsia"/>
                <w:color w:val="0000FF"/>
                <w:lang w:val="fr-FR"/>
              </w:rPr>
              <w:t>泡打粉</w:t>
            </w:r>
            <w:r>
              <w:rPr>
                <w:rFonts w:hint="eastAsia"/>
                <w:color w:val="0000FF"/>
                <w:lang w:val="en-US" w:eastAsia="zh-CN"/>
              </w:rPr>
              <w:t>）</w:t>
            </w:r>
            <w:r>
              <w:rPr>
                <w:rFonts w:hint="eastAsia"/>
                <w:color w:val="0000FF"/>
                <w:lang w:val="fr-FR"/>
              </w:rPr>
              <w:t>≤</w:t>
            </w:r>
            <w:r>
              <w:rPr>
                <w:rFonts w:hint="eastAsia"/>
                <w:color w:val="0000FF"/>
                <w:lang w:val="en-US" w:eastAsia="zh-CN"/>
              </w:rPr>
              <w:t>12.5</w:t>
            </w:r>
            <w:r>
              <w:rPr>
                <w:rFonts w:hint="eastAsia"/>
                <w:color w:val="0000FF"/>
                <w:lang w:val="fr-FR"/>
              </w:rPr>
              <w:t>g/kg</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s="Times New Roman"/>
                <w:color w:val="0000FF"/>
                <w:kern w:val="2"/>
                <w:sz w:val="21"/>
                <w:lang w:val="en-US" w:eastAsia="zh-CN" w:bidi="ar-SA"/>
              </w:rPr>
              <w:t>1</w:t>
            </w:r>
          </w:p>
        </w:tc>
      </w:tr>
    </w:tbl>
    <w:p/>
    <w:p/>
    <w:p>
      <w:pPr>
        <w:rPr>
          <w:b/>
          <w:bCs/>
          <w:sz w:val="24"/>
        </w:rPr>
      </w:pPr>
    </w:p>
    <w:p>
      <w:pPr>
        <w:jc w:val="left"/>
        <w:rPr>
          <w:sz w:val="18"/>
          <w:szCs w:val="18"/>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left" w:pos="8910"/>
        <w:tab w:val="left" w:pos="9142"/>
        <w:tab w:val="clear" w:pos="4153"/>
      </w:tabs>
      <w:spacing w:line="320" w:lineRule="exact"/>
      <w:ind w:left="-86" w:leftChars="-41" w:firstLine="810" w:firstLineChars="450"/>
      <w:jc w:val="left"/>
      <w:rPr>
        <w:rStyle w:val="40"/>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40"/>
        <w:rFonts w:hint="default"/>
      </w:rPr>
      <w:t>北京国标联合认证有限公司</w:t>
    </w:r>
    <w:r>
      <w:rPr>
        <w:rStyle w:val="40"/>
        <w:rFonts w:hint="default"/>
      </w:rPr>
      <w:tab/>
    </w:r>
    <w:r>
      <w:rPr>
        <w:rStyle w:val="40"/>
        <w:rFonts w:hint="default"/>
      </w:rPr>
      <w:tab/>
    </w:r>
    <w:r>
      <w:rPr>
        <w:rStyle w:val="40"/>
        <w:rFonts w:hint="default"/>
      </w:rPr>
      <w:tab/>
    </w:r>
    <w:bookmarkEnd w:id="4"/>
  </w:p>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ADE1C6"/>
    <w:multiLevelType w:val="singleLevel"/>
    <w:tmpl w:val="A6ADE1C6"/>
    <w:lvl w:ilvl="0" w:tentative="0">
      <w:start w:val="2018"/>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B15B58"/>
    <w:multiLevelType w:val="multilevel"/>
    <w:tmpl w:val="0AB15B58"/>
    <w:lvl w:ilvl="0" w:tentative="0">
      <w:start w:val="1"/>
      <w:numFmt w:val="bullet"/>
      <w:pStyle w:val="128"/>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944522"/>
    <w:multiLevelType w:val="multilevel"/>
    <w:tmpl w:val="34944522"/>
    <w:lvl w:ilvl="0" w:tentative="0">
      <w:start w:val="1"/>
      <w:numFmt w:val="bullet"/>
      <w:pStyle w:val="124"/>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8E20F7"/>
    <w:multiLevelType w:val="multilevel"/>
    <w:tmpl w:val="488E20F7"/>
    <w:lvl w:ilvl="0" w:tentative="0">
      <w:start w:val="1"/>
      <w:numFmt w:val="japaneseCounting"/>
      <w:pStyle w:val="3"/>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5"/>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9">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1691D76"/>
    <w:multiLevelType w:val="multilevel"/>
    <w:tmpl w:val="71691D76"/>
    <w:lvl w:ilvl="0" w:tentative="0">
      <w:start w:val="1"/>
      <w:numFmt w:val="bullet"/>
      <w:pStyle w:val="65"/>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22">
    <w:nsid w:val="7862B32D"/>
    <w:multiLevelType w:val="singleLevel"/>
    <w:tmpl w:val="7862B32D"/>
    <w:lvl w:ilvl="0" w:tentative="0">
      <w:start w:val="1"/>
      <w:numFmt w:val="decimal"/>
      <w:suff w:val="space"/>
      <w:lvlText w:val="%1."/>
      <w:lvlJc w:val="left"/>
    </w:lvl>
  </w:abstractNum>
  <w:abstractNum w:abstractNumId="23">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3"/>
  </w:num>
  <w:num w:numId="3">
    <w:abstractNumId w:val="18"/>
  </w:num>
  <w:num w:numId="4">
    <w:abstractNumId w:val="21"/>
  </w:num>
  <w:num w:numId="5">
    <w:abstractNumId w:val="9"/>
  </w:num>
  <w:num w:numId="6">
    <w:abstractNumId w:val="5"/>
  </w:num>
  <w:num w:numId="7">
    <w:abstractNumId w:val="1"/>
  </w:num>
  <w:num w:numId="8">
    <w:abstractNumId w:val="2"/>
  </w:num>
  <w:num w:numId="9">
    <w:abstractNumId w:val="3"/>
  </w:num>
  <w:num w:numId="10">
    <w:abstractNumId w:val="0"/>
  </w:num>
  <w:num w:numId="11">
    <w:abstractNumId w:val="16"/>
  </w:num>
  <w:num w:numId="12">
    <w:abstractNumId w:val="4"/>
  </w:num>
  <w:num w:numId="13">
    <w:abstractNumId w:val="15"/>
  </w:num>
  <w:num w:numId="14">
    <w:abstractNumId w:val="17"/>
  </w:num>
  <w:num w:numId="15">
    <w:abstractNumId w:val="14"/>
  </w:num>
  <w:num w:numId="16">
    <w:abstractNumId w:val="10"/>
  </w:num>
  <w:num w:numId="17">
    <w:abstractNumId w:val="23"/>
  </w:num>
  <w:num w:numId="18">
    <w:abstractNumId w:val="7"/>
  </w:num>
  <w:num w:numId="19">
    <w:abstractNumId w:val="19"/>
  </w:num>
  <w:num w:numId="20">
    <w:abstractNumId w:val="8"/>
  </w:num>
  <w:num w:numId="21">
    <w:abstractNumId w:val="22"/>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0D977C5"/>
    <w:rsid w:val="11610717"/>
    <w:rsid w:val="116620D4"/>
    <w:rsid w:val="117D5C2C"/>
    <w:rsid w:val="12E87EE4"/>
    <w:rsid w:val="13103FBC"/>
    <w:rsid w:val="135C0807"/>
    <w:rsid w:val="13B33091"/>
    <w:rsid w:val="13CE3A28"/>
    <w:rsid w:val="13F77799"/>
    <w:rsid w:val="141B5992"/>
    <w:rsid w:val="148F3A78"/>
    <w:rsid w:val="15805901"/>
    <w:rsid w:val="15F4180F"/>
    <w:rsid w:val="15F94A23"/>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365016"/>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160C"/>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D4692"/>
    <w:rsid w:val="4A530618"/>
    <w:rsid w:val="4B4A3A22"/>
    <w:rsid w:val="4B6704D7"/>
    <w:rsid w:val="4BA55DEE"/>
    <w:rsid w:val="4BB00240"/>
    <w:rsid w:val="4C8978AB"/>
    <w:rsid w:val="4CA3599D"/>
    <w:rsid w:val="4DE97690"/>
    <w:rsid w:val="4E0062C7"/>
    <w:rsid w:val="4EA24F8C"/>
    <w:rsid w:val="50164862"/>
    <w:rsid w:val="504B3A24"/>
    <w:rsid w:val="5187429B"/>
    <w:rsid w:val="51E569AA"/>
    <w:rsid w:val="520A3F74"/>
    <w:rsid w:val="524317A1"/>
    <w:rsid w:val="5278350D"/>
    <w:rsid w:val="5315050D"/>
    <w:rsid w:val="531C0C85"/>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8D951F1"/>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5E1A17"/>
    <w:rsid w:val="6CC73384"/>
    <w:rsid w:val="6D6D0B45"/>
    <w:rsid w:val="6DD62184"/>
    <w:rsid w:val="6E331577"/>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7C540C"/>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4">
    <w:name w:val="heading 2"/>
    <w:basedOn w:val="1"/>
    <w:next w:val="1"/>
    <w:link w:val="48"/>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5">
    <w:name w:val="heading 3"/>
    <w:basedOn w:val="1"/>
    <w:next w:val="1"/>
    <w:link w:val="49"/>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6">
    <w:name w:val="heading 4"/>
    <w:basedOn w:val="1"/>
    <w:next w:val="1"/>
    <w:link w:val="50"/>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7">
    <w:name w:val="heading 5"/>
    <w:basedOn w:val="1"/>
    <w:next w:val="1"/>
    <w:link w:val="51"/>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8">
    <w:name w:val="heading 6"/>
    <w:basedOn w:val="1"/>
    <w:next w:val="1"/>
    <w:link w:val="52"/>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9">
    <w:name w:val="heading 7"/>
    <w:basedOn w:val="1"/>
    <w:next w:val="1"/>
    <w:link w:val="53"/>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10">
    <w:name w:val="heading 8"/>
    <w:basedOn w:val="1"/>
    <w:next w:val="1"/>
    <w:link w:val="54"/>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1">
    <w:name w:val="heading 9"/>
    <w:basedOn w:val="1"/>
    <w:next w:val="1"/>
    <w:link w:val="55"/>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12">
    <w:name w:val="toc 7"/>
    <w:basedOn w:val="1"/>
    <w:next w:val="1"/>
    <w:semiHidden/>
    <w:qFormat/>
    <w:uiPriority w:val="0"/>
    <w:pPr>
      <w:widowControl/>
      <w:ind w:left="1000"/>
      <w:jc w:val="left"/>
    </w:pPr>
    <w:rPr>
      <w:snapToGrid w:val="0"/>
      <w:kern w:val="0"/>
      <w:sz w:val="20"/>
      <w:szCs w:val="20"/>
      <w:lang w:val="de-DE" w:eastAsia="de-DE"/>
    </w:rPr>
  </w:style>
  <w:style w:type="paragraph" w:styleId="13">
    <w:name w:val="Body Text 3"/>
    <w:basedOn w:val="1"/>
    <w:link w:val="115"/>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4">
    <w:name w:val="Body Text"/>
    <w:basedOn w:val="1"/>
    <w:link w:val="110"/>
    <w:qFormat/>
    <w:uiPriority w:val="0"/>
    <w:pPr>
      <w:widowControl/>
      <w:spacing w:before="40" w:after="40"/>
    </w:pPr>
    <w:rPr>
      <w:rFonts w:ascii="Arial" w:hAnsi="Arial" w:cs="Arial"/>
      <w:snapToGrid w:val="0"/>
      <w:vanish/>
      <w:color w:val="0000FF"/>
      <w:kern w:val="0"/>
      <w:sz w:val="20"/>
      <w:szCs w:val="20"/>
      <w:lang w:val="de-DE" w:eastAsia="de-DE"/>
    </w:rPr>
  </w:style>
  <w:style w:type="paragraph" w:styleId="15">
    <w:name w:val="Body Text Indent"/>
    <w:basedOn w:val="1"/>
    <w:link w:val="11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6">
    <w:name w:val="toc 5"/>
    <w:basedOn w:val="1"/>
    <w:next w:val="1"/>
    <w:semiHidden/>
    <w:qFormat/>
    <w:uiPriority w:val="0"/>
    <w:pPr>
      <w:widowControl/>
      <w:ind w:left="600"/>
      <w:jc w:val="left"/>
    </w:pPr>
    <w:rPr>
      <w:snapToGrid w:val="0"/>
      <w:kern w:val="0"/>
      <w:sz w:val="20"/>
      <w:szCs w:val="20"/>
      <w:lang w:val="de-DE" w:eastAsia="de-DE"/>
    </w:rPr>
  </w:style>
  <w:style w:type="paragraph" w:styleId="17">
    <w:name w:val="toc 3"/>
    <w:basedOn w:val="1"/>
    <w:next w:val="1"/>
    <w:semiHidden/>
    <w:qFormat/>
    <w:uiPriority w:val="0"/>
    <w:pPr>
      <w:widowControl/>
      <w:ind w:left="200"/>
      <w:jc w:val="left"/>
    </w:pPr>
    <w:rPr>
      <w:snapToGrid w:val="0"/>
      <w:kern w:val="0"/>
      <w:sz w:val="20"/>
      <w:szCs w:val="20"/>
      <w:lang w:val="de-DE" w:eastAsia="de-DE"/>
    </w:rPr>
  </w:style>
  <w:style w:type="paragraph" w:styleId="18">
    <w:name w:val="Plain Text"/>
    <w:basedOn w:val="1"/>
    <w:link w:val="125"/>
    <w:qFormat/>
    <w:uiPriority w:val="0"/>
    <w:rPr>
      <w:rFonts w:ascii="宋体" w:hAnsi="Courier New"/>
      <w:szCs w:val="20"/>
    </w:rPr>
  </w:style>
  <w:style w:type="paragraph" w:styleId="19">
    <w:name w:val="toc 8"/>
    <w:basedOn w:val="1"/>
    <w:next w:val="1"/>
    <w:semiHidden/>
    <w:qFormat/>
    <w:uiPriority w:val="0"/>
    <w:pPr>
      <w:widowControl/>
      <w:ind w:left="1200"/>
      <w:jc w:val="left"/>
    </w:pPr>
    <w:rPr>
      <w:snapToGrid w:val="0"/>
      <w:kern w:val="0"/>
      <w:sz w:val="20"/>
      <w:szCs w:val="20"/>
      <w:lang w:val="de-DE" w:eastAsia="de-DE"/>
    </w:rPr>
  </w:style>
  <w:style w:type="paragraph" w:styleId="20">
    <w:name w:val="Balloon Text"/>
    <w:basedOn w:val="1"/>
    <w:link w:val="38"/>
    <w:unhideWhenUsed/>
    <w:qFormat/>
    <w:uiPriority w:val="0"/>
    <w:rPr>
      <w:sz w:val="18"/>
      <w:szCs w:val="18"/>
    </w:rPr>
  </w:style>
  <w:style w:type="paragraph" w:styleId="21">
    <w:name w:val="footer"/>
    <w:basedOn w:val="1"/>
    <w:link w:val="37"/>
    <w:unhideWhenUsed/>
    <w:qFormat/>
    <w:uiPriority w:val="0"/>
    <w:pPr>
      <w:tabs>
        <w:tab w:val="center" w:pos="4153"/>
        <w:tab w:val="right" w:pos="8306"/>
      </w:tabs>
      <w:snapToGrid w:val="0"/>
      <w:jc w:val="left"/>
    </w:pPr>
    <w:rPr>
      <w:sz w:val="18"/>
      <w:szCs w:val="18"/>
    </w:rPr>
  </w:style>
  <w:style w:type="paragraph" w:styleId="22">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4">
    <w:name w:val="toc 4"/>
    <w:basedOn w:val="1"/>
    <w:next w:val="1"/>
    <w:semiHidden/>
    <w:qFormat/>
    <w:uiPriority w:val="0"/>
    <w:pPr>
      <w:widowControl/>
      <w:ind w:left="400"/>
      <w:jc w:val="left"/>
    </w:pPr>
    <w:rPr>
      <w:snapToGrid w:val="0"/>
      <w:kern w:val="0"/>
      <w:sz w:val="20"/>
      <w:szCs w:val="20"/>
      <w:lang w:val="de-DE" w:eastAsia="de-DE"/>
    </w:rPr>
  </w:style>
  <w:style w:type="paragraph" w:styleId="25">
    <w:name w:val="toc 6"/>
    <w:basedOn w:val="1"/>
    <w:next w:val="1"/>
    <w:semiHidden/>
    <w:qFormat/>
    <w:uiPriority w:val="0"/>
    <w:pPr>
      <w:widowControl/>
      <w:ind w:left="800"/>
      <w:jc w:val="left"/>
    </w:pPr>
    <w:rPr>
      <w:snapToGrid w:val="0"/>
      <w:kern w:val="0"/>
      <w:sz w:val="20"/>
      <w:szCs w:val="20"/>
      <w:lang w:val="de-DE" w:eastAsia="de-DE"/>
    </w:rPr>
  </w:style>
  <w:style w:type="paragraph" w:styleId="26">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7">
    <w:name w:val="toc 9"/>
    <w:basedOn w:val="1"/>
    <w:next w:val="1"/>
    <w:semiHidden/>
    <w:qFormat/>
    <w:uiPriority w:val="0"/>
    <w:pPr>
      <w:widowControl/>
      <w:ind w:left="1400"/>
      <w:jc w:val="left"/>
    </w:pPr>
    <w:rPr>
      <w:snapToGrid w:val="0"/>
      <w:kern w:val="0"/>
      <w:sz w:val="20"/>
      <w:szCs w:val="20"/>
      <w:lang w:val="de-DE" w:eastAsia="de-DE"/>
    </w:r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qFormat/>
    <w:uiPriority w:val="0"/>
    <w:rPr>
      <w:color w:val="800080"/>
      <w:u w:val="single"/>
    </w:rPr>
  </w:style>
  <w:style w:type="character" w:styleId="34">
    <w:name w:val="Hyperlink"/>
    <w:basedOn w:val="32"/>
    <w:unhideWhenUsed/>
    <w:qFormat/>
    <w:uiPriority w:val="0"/>
    <w:rPr>
      <w:color w:val="0000FF"/>
      <w:u w:val="single"/>
    </w:rPr>
  </w:style>
  <w:style w:type="paragraph" w:styleId="35">
    <w:name w:val="List Paragraph"/>
    <w:basedOn w:val="1"/>
    <w:qFormat/>
    <w:uiPriority w:val="34"/>
    <w:pPr>
      <w:ind w:firstLine="420" w:firstLineChars="200"/>
    </w:pPr>
  </w:style>
  <w:style w:type="character" w:customStyle="1" w:styleId="36">
    <w:name w:val="页眉 字符"/>
    <w:basedOn w:val="32"/>
    <w:link w:val="22"/>
    <w:qFormat/>
    <w:uiPriority w:val="99"/>
    <w:rPr>
      <w:rFonts w:ascii="Times New Roman" w:hAnsi="Times New Roman" w:eastAsia="宋体" w:cs="Times New Roman"/>
      <w:sz w:val="18"/>
      <w:szCs w:val="18"/>
    </w:rPr>
  </w:style>
  <w:style w:type="character" w:customStyle="1" w:styleId="37">
    <w:name w:val="页脚 字符"/>
    <w:basedOn w:val="32"/>
    <w:link w:val="21"/>
    <w:qFormat/>
    <w:uiPriority w:val="99"/>
    <w:rPr>
      <w:rFonts w:ascii="Times New Roman" w:hAnsi="Times New Roman" w:eastAsia="宋体" w:cs="Times New Roman"/>
      <w:sz w:val="18"/>
      <w:szCs w:val="18"/>
    </w:rPr>
  </w:style>
  <w:style w:type="character" w:customStyle="1" w:styleId="38">
    <w:name w:val="批注框文本 字符"/>
    <w:basedOn w:val="32"/>
    <w:link w:val="20"/>
    <w:semiHidden/>
    <w:qFormat/>
    <w:uiPriority w:val="99"/>
    <w:rPr>
      <w:rFonts w:ascii="Times New Roman" w:hAnsi="Times New Roman" w:eastAsia="宋体" w:cs="Times New Roman"/>
      <w:sz w:val="18"/>
      <w:szCs w:val="18"/>
    </w:rPr>
  </w:style>
  <w:style w:type="character" w:customStyle="1" w:styleId="39">
    <w:name w:val="页眉 Char"/>
    <w:qFormat/>
    <w:uiPriority w:val="0"/>
    <w:rPr>
      <w:kern w:val="2"/>
      <w:sz w:val="18"/>
      <w:szCs w:val="18"/>
    </w:rPr>
  </w:style>
  <w:style w:type="character" w:customStyle="1" w:styleId="40">
    <w:name w:val="Char Char1"/>
    <w:qFormat/>
    <w:locked/>
    <w:uiPriority w:val="0"/>
    <w:rPr>
      <w:rFonts w:hint="eastAsia" w:ascii="宋体" w:hAnsi="Courier New" w:eastAsia="宋体"/>
      <w:kern w:val="2"/>
      <w:sz w:val="21"/>
      <w:lang w:val="en-US" w:eastAsia="zh-CN" w:bidi="ar-SA"/>
    </w:rPr>
  </w:style>
  <w:style w:type="paragraph" w:customStyle="1" w:styleId="41">
    <w:name w:val="Body 6pt"/>
    <w:basedOn w:val="1"/>
    <w:qFormat/>
    <w:uiPriority w:val="0"/>
    <w:pPr>
      <w:spacing w:before="40" w:after="40"/>
    </w:pPr>
    <w:rPr>
      <w:rFonts w:eastAsia="Times New Roman"/>
      <w:sz w:val="12"/>
      <w:szCs w:val="20"/>
      <w:lang w:val="de-DE" w:eastAsia="de-DE"/>
    </w:rPr>
  </w:style>
  <w:style w:type="paragraph" w:customStyle="1" w:styleId="4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3">
    <w:name w:val="TM_accreditation"/>
    <w:basedOn w:val="1"/>
    <w:qFormat/>
    <w:uiPriority w:val="0"/>
    <w:pPr>
      <w:spacing w:before="40" w:after="40"/>
    </w:pPr>
    <w:rPr>
      <w:rFonts w:eastAsia="Times New Roman"/>
      <w:sz w:val="20"/>
      <w:szCs w:val="20"/>
      <w:lang w:val="en-GB" w:eastAsia="de-DE"/>
    </w:rPr>
  </w:style>
  <w:style w:type="paragraph" w:customStyle="1" w:styleId="4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7">
    <w:name w:val="标题 1 字符"/>
    <w:basedOn w:val="32"/>
    <w:link w:val="3"/>
    <w:qFormat/>
    <w:uiPriority w:val="0"/>
    <w:rPr>
      <w:rFonts w:ascii="Arial" w:hAnsi="Arial" w:cs="Arial"/>
      <w:b/>
      <w:bCs/>
      <w:snapToGrid w:val="0"/>
      <w:sz w:val="24"/>
      <w:szCs w:val="24"/>
      <w:lang w:val="de-DE" w:eastAsia="de-DE"/>
    </w:rPr>
  </w:style>
  <w:style w:type="character" w:customStyle="1" w:styleId="48">
    <w:name w:val="标题 2 字符"/>
    <w:basedOn w:val="32"/>
    <w:link w:val="4"/>
    <w:qFormat/>
    <w:uiPriority w:val="0"/>
    <w:rPr>
      <w:rFonts w:ascii="Arial" w:hAnsi="Arial" w:cs="Arial"/>
      <w:b/>
      <w:bCs/>
      <w:snapToGrid w:val="0"/>
      <w:sz w:val="24"/>
      <w:szCs w:val="24"/>
      <w:lang w:val="de-DE" w:eastAsia="de-DE"/>
    </w:rPr>
  </w:style>
  <w:style w:type="character" w:customStyle="1" w:styleId="49">
    <w:name w:val="标题 3 字符"/>
    <w:basedOn w:val="32"/>
    <w:link w:val="5"/>
    <w:qFormat/>
    <w:uiPriority w:val="0"/>
    <w:rPr>
      <w:rFonts w:ascii="Arial" w:hAnsi="Arial" w:cs="Arial"/>
      <w:b/>
      <w:bCs/>
      <w:snapToGrid w:val="0"/>
      <w:lang w:val="de-DE" w:eastAsia="de-DE"/>
    </w:rPr>
  </w:style>
  <w:style w:type="character" w:customStyle="1" w:styleId="50">
    <w:name w:val="标题 4 字符"/>
    <w:basedOn w:val="32"/>
    <w:link w:val="6"/>
    <w:qFormat/>
    <w:uiPriority w:val="0"/>
    <w:rPr>
      <w:rFonts w:ascii="Arial" w:hAnsi="Arial" w:cs="Arial"/>
      <w:b/>
      <w:bCs/>
      <w:snapToGrid w:val="0"/>
      <w:sz w:val="24"/>
      <w:szCs w:val="24"/>
      <w:lang w:val="de-DE" w:eastAsia="de-DE"/>
    </w:rPr>
  </w:style>
  <w:style w:type="character" w:customStyle="1" w:styleId="51">
    <w:name w:val="标题 5 字符"/>
    <w:basedOn w:val="32"/>
    <w:link w:val="7"/>
    <w:qFormat/>
    <w:uiPriority w:val="0"/>
    <w:rPr>
      <w:rFonts w:ascii="Arial" w:hAnsi="Arial"/>
      <w:b/>
      <w:bCs/>
      <w:snapToGrid w:val="0"/>
      <w:color w:val="FF0000"/>
      <w:sz w:val="24"/>
      <w:szCs w:val="24"/>
      <w:lang w:val="de-DE" w:eastAsia="de-DE"/>
    </w:rPr>
  </w:style>
  <w:style w:type="character" w:customStyle="1" w:styleId="52">
    <w:name w:val="标题 6 字符"/>
    <w:basedOn w:val="32"/>
    <w:link w:val="8"/>
    <w:qFormat/>
    <w:uiPriority w:val="0"/>
    <w:rPr>
      <w:rFonts w:ascii="Arial" w:hAnsi="Arial"/>
      <w:b/>
      <w:bCs/>
      <w:snapToGrid w:val="0"/>
      <w:sz w:val="24"/>
      <w:szCs w:val="24"/>
      <w:lang w:val="de-DE" w:eastAsia="de-DE"/>
    </w:rPr>
  </w:style>
  <w:style w:type="character" w:customStyle="1" w:styleId="53">
    <w:name w:val="标题 7 字符"/>
    <w:basedOn w:val="32"/>
    <w:link w:val="9"/>
    <w:qFormat/>
    <w:uiPriority w:val="0"/>
    <w:rPr>
      <w:rFonts w:ascii="Arial" w:hAnsi="Arial" w:eastAsia="MS Gothic"/>
      <w:i/>
      <w:iCs/>
      <w:snapToGrid w:val="0"/>
      <w:color w:val="000000"/>
      <w:sz w:val="16"/>
      <w:szCs w:val="16"/>
      <w:lang w:val="de-DE" w:eastAsia="de-DE"/>
    </w:rPr>
  </w:style>
  <w:style w:type="character" w:customStyle="1" w:styleId="54">
    <w:name w:val="标题 8 字符"/>
    <w:basedOn w:val="32"/>
    <w:link w:val="10"/>
    <w:qFormat/>
    <w:uiPriority w:val="0"/>
    <w:rPr>
      <w:rFonts w:ascii="Arial" w:hAnsi="Arial" w:cs="Arial"/>
      <w:b/>
      <w:bCs/>
      <w:snapToGrid w:val="0"/>
      <w:color w:val="000000"/>
      <w:sz w:val="16"/>
      <w:szCs w:val="16"/>
      <w:lang w:val="de-DE" w:eastAsia="de-DE"/>
    </w:rPr>
  </w:style>
  <w:style w:type="character" w:customStyle="1" w:styleId="55">
    <w:name w:val="标题 9 字符"/>
    <w:basedOn w:val="32"/>
    <w:link w:val="11"/>
    <w:qFormat/>
    <w:uiPriority w:val="0"/>
    <w:rPr>
      <w:rFonts w:ascii="Arial" w:hAnsi="Arial" w:eastAsia="MS Gothic"/>
      <w:snapToGrid w:val="0"/>
      <w:sz w:val="18"/>
      <w:szCs w:val="18"/>
      <w:u w:val="single"/>
      <w:lang w:val="de-DE" w:eastAsia="de-DE"/>
    </w:rPr>
  </w:style>
  <w:style w:type="paragraph" w:customStyle="1" w:styleId="56">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7">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58">
    <w:name w:val="Body 10pt En Left AS0"/>
    <w:basedOn w:val="56"/>
    <w:qFormat/>
    <w:uiPriority w:val="0"/>
    <w:rPr>
      <w:color w:val="000080"/>
    </w:rPr>
  </w:style>
  <w:style w:type="paragraph" w:customStyle="1" w:styleId="59">
    <w:name w:val="Body 10pt En Underline AS0"/>
    <w:basedOn w:val="57"/>
    <w:qFormat/>
    <w:uiPriority w:val="0"/>
    <w:rPr>
      <w:color w:val="000080"/>
    </w:rPr>
  </w:style>
  <w:style w:type="paragraph" w:customStyle="1" w:styleId="60">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1">
    <w:name w:val="Header 10pt En PS0"/>
    <w:basedOn w:val="60"/>
    <w:qFormat/>
    <w:uiPriority w:val="0"/>
    <w:rPr>
      <w:color w:val="000080"/>
    </w:rPr>
  </w:style>
  <w:style w:type="paragraph" w:customStyle="1" w:styleId="62">
    <w:name w:val="Header 11pt Left Bold"/>
    <w:basedOn w:val="60"/>
    <w:qFormat/>
    <w:uiPriority w:val="0"/>
    <w:pPr>
      <w:jc w:val="left"/>
    </w:pPr>
    <w:rPr>
      <w:sz w:val="22"/>
      <w:szCs w:val="22"/>
    </w:rPr>
  </w:style>
  <w:style w:type="paragraph" w:customStyle="1" w:styleId="63">
    <w:name w:val="Header 11pt En Left Bold"/>
    <w:basedOn w:val="62"/>
    <w:qFormat/>
    <w:uiPriority w:val="0"/>
    <w:rPr>
      <w:color w:val="000080"/>
    </w:rPr>
  </w:style>
  <w:style w:type="paragraph" w:customStyle="1" w:styleId="64">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5">
    <w:name w:val="Header 12pt Bold Centered"/>
    <w:basedOn w:val="64"/>
    <w:qFormat/>
    <w:uiPriority w:val="0"/>
    <w:pPr>
      <w:numPr>
        <w:ilvl w:val="0"/>
        <w:numId w:val="4"/>
      </w:numPr>
      <w:tabs>
        <w:tab w:val="clear" w:pos="360"/>
      </w:tabs>
      <w:ind w:left="0" w:firstLine="0"/>
    </w:pPr>
  </w:style>
  <w:style w:type="paragraph" w:customStyle="1" w:styleId="66">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7">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68">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69">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70">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1">
    <w:name w:val="List Dot En 10pt"/>
    <w:basedOn w:val="44"/>
    <w:qFormat/>
    <w:uiPriority w:val="0"/>
    <w:pPr>
      <w:widowControl/>
      <w:tabs>
        <w:tab w:val="left" w:pos="360"/>
      </w:tabs>
    </w:pPr>
    <w:rPr>
      <w:rFonts w:ascii="Arial" w:hAnsi="Arial" w:eastAsia="宋体" w:cs="Arial"/>
      <w:color w:val="000080"/>
      <w:kern w:val="0"/>
    </w:rPr>
  </w:style>
  <w:style w:type="paragraph" w:customStyle="1" w:styleId="72">
    <w:name w:val="List Dot En 10pt Feeder"/>
    <w:basedOn w:val="70"/>
    <w:qFormat/>
    <w:uiPriority w:val="0"/>
    <w:pPr>
      <w:tabs>
        <w:tab w:val="clear" w:pos="927"/>
      </w:tabs>
    </w:pPr>
    <w:rPr>
      <w:color w:val="000080"/>
    </w:rPr>
  </w:style>
  <w:style w:type="paragraph" w:customStyle="1" w:styleId="73">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4">
    <w:name w:val="List Number En 10pt"/>
    <w:basedOn w:val="73"/>
    <w:qFormat/>
    <w:uiPriority w:val="0"/>
    <w:pPr>
      <w:tabs>
        <w:tab w:val="clear" w:pos="567"/>
      </w:tabs>
    </w:pPr>
    <w:rPr>
      <w:color w:val="000080"/>
      <w:lang w:val="en-US"/>
    </w:rPr>
  </w:style>
  <w:style w:type="paragraph" w:customStyle="1" w:styleId="75">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6">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7">
    <w:name w:val="PRC Step 10pt En Subtitle"/>
    <w:basedOn w:val="76"/>
    <w:next w:val="1"/>
    <w:qFormat/>
    <w:uiPriority w:val="0"/>
    <w:rPr>
      <w:color w:val="000080"/>
      <w:lang w:val="en-US"/>
    </w:rPr>
  </w:style>
  <w:style w:type="paragraph" w:customStyle="1" w:styleId="78">
    <w:name w:val="PRC Step 10pt En Title"/>
    <w:basedOn w:val="76"/>
    <w:next w:val="1"/>
    <w:qFormat/>
    <w:uiPriority w:val="0"/>
    <w:rPr>
      <w:color w:val="000080"/>
      <w:lang w:val="en-US"/>
    </w:rPr>
  </w:style>
  <w:style w:type="paragraph" w:customStyle="1" w:styleId="79">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0">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1">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2">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3">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4">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5">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6">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7">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8">
    <w:name w:val="TM_clientName"/>
    <w:basedOn w:val="87"/>
    <w:qFormat/>
    <w:uiPriority w:val="0"/>
  </w:style>
  <w:style w:type="paragraph" w:customStyle="1" w:styleId="89">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90">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1">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2">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3">
    <w:name w:val="TM_docType"/>
    <w:basedOn w:val="92"/>
    <w:qFormat/>
    <w:uiPriority w:val="0"/>
  </w:style>
  <w:style w:type="paragraph" w:customStyle="1" w:styleId="94">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6">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7">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8">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99">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1">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2">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3">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4">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5">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6">
    <w:name w:val="Überschrift 4 En"/>
    <w:basedOn w:val="6"/>
    <w:qFormat/>
    <w:uiPriority w:val="0"/>
    <w:rPr>
      <w:color w:val="000080"/>
    </w:rPr>
  </w:style>
  <w:style w:type="paragraph" w:customStyle="1" w:styleId="107">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08">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09">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10">
    <w:name w:val="正文文本 字符"/>
    <w:basedOn w:val="32"/>
    <w:link w:val="14"/>
    <w:qFormat/>
    <w:uiPriority w:val="0"/>
    <w:rPr>
      <w:rFonts w:ascii="Arial" w:hAnsi="Arial" w:cs="Arial"/>
      <w:snapToGrid w:val="0"/>
      <w:vanish/>
      <w:color w:val="0000FF"/>
      <w:lang w:val="de-DE" w:eastAsia="de-DE"/>
    </w:rPr>
  </w:style>
  <w:style w:type="character" w:customStyle="1" w:styleId="111">
    <w:name w:val="正文文本缩进 字符"/>
    <w:basedOn w:val="32"/>
    <w:link w:val="15"/>
    <w:qFormat/>
    <w:uiPriority w:val="0"/>
    <w:rPr>
      <w:rFonts w:ascii="Arial" w:hAnsi="Arial" w:cs="Arial"/>
      <w:snapToGrid w:val="0"/>
      <w:shd w:val="pct25" w:color="00FF00" w:fill="FFFFFF"/>
      <w:lang w:val="en-GB" w:eastAsia="de-DE"/>
    </w:rPr>
  </w:style>
  <w:style w:type="paragraph" w:customStyle="1" w:styleId="112">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3">
    <w:name w:val="Header 20pt PS24 AS12 + 24 pt Fett"/>
    <w:basedOn w:val="66"/>
    <w:qFormat/>
    <w:uiPriority w:val="0"/>
    <w:pPr>
      <w:spacing w:before="0" w:after="0" w:line="520" w:lineRule="exact"/>
      <w:jc w:val="left"/>
    </w:pPr>
    <w:rPr>
      <w:sz w:val="48"/>
      <w:szCs w:val="48"/>
    </w:rPr>
  </w:style>
  <w:style w:type="character" w:customStyle="1" w:styleId="114">
    <w:name w:val="tw4winMark"/>
    <w:qFormat/>
    <w:uiPriority w:val="0"/>
    <w:rPr>
      <w:rFonts w:ascii="Courier New" w:hAnsi="Courier New" w:cs="Courier New"/>
      <w:vanish/>
      <w:color w:val="800080"/>
      <w:sz w:val="24"/>
      <w:szCs w:val="24"/>
      <w:vertAlign w:val="subscript"/>
    </w:rPr>
  </w:style>
  <w:style w:type="character" w:customStyle="1" w:styleId="115">
    <w:name w:val="正文文本 3 字符"/>
    <w:basedOn w:val="32"/>
    <w:link w:val="13"/>
    <w:qFormat/>
    <w:uiPriority w:val="0"/>
    <w:rPr>
      <w:rFonts w:ascii="Arial" w:hAnsi="Arial" w:cs="Arial"/>
      <w:snapToGrid w:val="0"/>
      <w:shd w:val="pct25" w:color="00FF00" w:fill="FFFFFF"/>
      <w:lang w:val="en-GB" w:eastAsia="de-DE"/>
    </w:rPr>
  </w:style>
  <w:style w:type="character" w:customStyle="1" w:styleId="116">
    <w:name w:val="tw4winError"/>
    <w:qFormat/>
    <w:uiPriority w:val="0"/>
    <w:rPr>
      <w:rFonts w:ascii="Courier New" w:hAnsi="Courier New" w:cs="Courier New"/>
      <w:color w:val="00FF00"/>
      <w:sz w:val="40"/>
      <w:szCs w:val="40"/>
    </w:rPr>
  </w:style>
  <w:style w:type="character" w:customStyle="1" w:styleId="117">
    <w:name w:val="tw4winTerm"/>
    <w:qFormat/>
    <w:uiPriority w:val="0"/>
    <w:rPr>
      <w:color w:val="0000FF"/>
    </w:rPr>
  </w:style>
  <w:style w:type="character" w:customStyle="1" w:styleId="118">
    <w:name w:val="tw4winPopup"/>
    <w:qFormat/>
    <w:uiPriority w:val="0"/>
    <w:rPr>
      <w:rFonts w:ascii="Courier New" w:hAnsi="Courier New" w:cs="Courier New"/>
      <w:color w:val="008000"/>
    </w:rPr>
  </w:style>
  <w:style w:type="character" w:customStyle="1" w:styleId="119">
    <w:name w:val="tw4winJump"/>
    <w:qFormat/>
    <w:uiPriority w:val="0"/>
    <w:rPr>
      <w:rFonts w:ascii="Courier New" w:hAnsi="Courier New" w:cs="Courier New"/>
      <w:color w:val="008080"/>
    </w:rPr>
  </w:style>
  <w:style w:type="character" w:customStyle="1" w:styleId="120">
    <w:name w:val="tw4winExternal"/>
    <w:qFormat/>
    <w:uiPriority w:val="0"/>
    <w:rPr>
      <w:rFonts w:ascii="Courier New" w:hAnsi="Courier New" w:cs="Courier New"/>
      <w:color w:val="808080"/>
    </w:rPr>
  </w:style>
  <w:style w:type="character" w:customStyle="1" w:styleId="121">
    <w:name w:val="tw4winInternal"/>
    <w:qFormat/>
    <w:uiPriority w:val="0"/>
    <w:rPr>
      <w:rFonts w:ascii="Courier New" w:hAnsi="Courier New" w:cs="Courier New"/>
      <w:color w:val="FF0000"/>
    </w:rPr>
  </w:style>
  <w:style w:type="character" w:customStyle="1" w:styleId="122">
    <w:name w:val="DO_NOT_TRANSLATE"/>
    <w:qFormat/>
    <w:uiPriority w:val="0"/>
    <w:rPr>
      <w:rFonts w:ascii="Courier New" w:hAnsi="Courier New" w:cs="Courier New"/>
      <w:color w:val="800000"/>
    </w:rPr>
  </w:style>
  <w:style w:type="paragraph" w:customStyle="1" w:styleId="123">
    <w:name w:val="Style TM_CN"/>
    <w:basedOn w:val="89"/>
    <w:qFormat/>
    <w:uiPriority w:val="0"/>
    <w:rPr>
      <w:rFonts w:cs="Times New Roman"/>
      <w:snapToGrid/>
      <w:sz w:val="18"/>
      <w:szCs w:val="20"/>
    </w:rPr>
  </w:style>
  <w:style w:type="paragraph" w:customStyle="1" w:styleId="124">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5">
    <w:name w:val="纯文本 字符"/>
    <w:basedOn w:val="32"/>
    <w:link w:val="18"/>
    <w:qFormat/>
    <w:uiPriority w:val="0"/>
    <w:rPr>
      <w:rFonts w:ascii="宋体" w:hAnsi="Courier New"/>
      <w:kern w:val="2"/>
      <w:sz w:val="21"/>
    </w:rPr>
  </w:style>
  <w:style w:type="paragraph" w:customStyle="1" w:styleId="126">
    <w:name w:val="Body 11pt AS0"/>
    <w:basedOn w:val="1"/>
    <w:qFormat/>
    <w:uiPriority w:val="0"/>
    <w:pPr>
      <w:widowControl/>
      <w:spacing w:before="60"/>
    </w:pPr>
    <w:rPr>
      <w:rFonts w:ascii="Arial" w:hAnsi="Arial"/>
      <w:kern w:val="0"/>
      <w:sz w:val="22"/>
      <w:szCs w:val="20"/>
      <w:lang w:val="de-DE" w:eastAsia="de-DE"/>
    </w:rPr>
  </w:style>
  <w:style w:type="paragraph" w:customStyle="1" w:styleId="127">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28">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2</TotalTime>
  <ScaleCrop>false</ScaleCrop>
  <LinksUpToDate>false</LinksUpToDate>
  <CharactersWithSpaces>29012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肖新龙</cp:lastModifiedBy>
  <cp:lastPrinted>2019-05-13T03:19:00Z</cp:lastPrinted>
  <dcterms:modified xsi:type="dcterms:W3CDTF">2020-12-10T14:06:33Z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