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03"/>
        <w:gridCol w:w="921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营销部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陆秀龙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9916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审核员：肖新龙 </w:t>
            </w:r>
            <w:r>
              <w:rPr>
                <w:sz w:val="24"/>
                <w:szCs w:val="24"/>
              </w:rPr>
              <w:t xml:space="preserve">  审核日期： 2020-1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1-28~29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991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18"/>
                <w:szCs w:val="18"/>
              </w:rPr>
              <w:t>FSMS:</w:t>
            </w:r>
            <w:r>
              <w:rPr>
                <w:rFonts w:hint="eastAsia" w:cs="Arial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.3/6.2/</w:t>
            </w:r>
            <w:r>
              <w:rPr>
                <w:rFonts w:cs="Arial"/>
                <w:sz w:val="18"/>
                <w:szCs w:val="18"/>
              </w:rPr>
              <w:t>7.1.6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H: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5.2/5.3.1/</w:t>
            </w:r>
            <w:r>
              <w:rPr>
                <w:sz w:val="18"/>
                <w:szCs w:val="18"/>
              </w:rPr>
              <w:t>6.5</w:t>
            </w:r>
          </w:p>
          <w:p>
            <w:pPr>
              <w:ind w:firstLine="1080" w:firstLineChars="600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B14881:7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5.3</w:t>
            </w: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H5.3.1</w:t>
            </w:r>
          </w:p>
        </w:tc>
        <w:tc>
          <w:tcPr>
            <w:tcW w:w="70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>
            <w:r>
              <w:rPr>
                <w:rFonts w:hint="eastAsia"/>
              </w:rPr>
              <w:t>《食</w:t>
            </w:r>
            <w:r>
              <w:t>品安全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</w:rPr>
              <w:t xml:space="preserve"> 》</w:t>
            </w:r>
          </w:p>
        </w:tc>
        <w:tc>
          <w:tcPr>
            <w:tcW w:w="1673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外部供方评价、选择、绩效监视以及再评价；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负责制定采购计划，负责原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料的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采购。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6.2</w:t>
            </w: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H5.2</w:t>
            </w:r>
          </w:p>
        </w:tc>
        <w:tc>
          <w:tcPr>
            <w:tcW w:w="70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食品安全目标及</w:t>
            </w:r>
            <w:r>
              <w:rPr>
                <w:color w:val="000000"/>
                <w:szCs w:val="21"/>
              </w:rPr>
              <w:t>考核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>
            <w:r>
              <w:rPr>
                <w:rFonts w:hint="eastAsia"/>
              </w:rPr>
              <w:t>本部门的分解</w:t>
            </w:r>
            <w:r>
              <w:rPr>
                <w:rFonts w:hint="eastAsia"/>
                <w:lang w:val="en-US" w:eastAsia="zh-CN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p/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21"/>
              <w:gridCol w:w="3750"/>
              <w:gridCol w:w="21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食品安全目标</w:t>
                  </w:r>
                </w:p>
              </w:tc>
              <w:tc>
                <w:tcPr>
                  <w:tcW w:w="37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2113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审核周期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szCs w:val="21"/>
                      <w:lang w:val="en-US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合格供方评审率100%</w:t>
                  </w:r>
                </w:p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750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合格供方评审书/合格供方需评审总数X100%</w:t>
                  </w:r>
                </w:p>
              </w:tc>
              <w:tc>
                <w:tcPr>
                  <w:tcW w:w="2113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100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采购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产品</w:t>
                  </w:r>
                  <w:r>
                    <w:rPr>
                      <w:rFonts w:hint="eastAsia"/>
                      <w:szCs w:val="21"/>
                    </w:rPr>
                    <w:t>合格率</w:t>
                  </w:r>
                  <w:r>
                    <w:rPr>
                      <w:rFonts w:hint="eastAsia" w:cs="宋体"/>
                      <w:color w:val="000000"/>
                      <w:kern w:val="0"/>
                      <w:szCs w:val="21"/>
                      <w:lang w:val="en-US" w:eastAsia="zh-CN"/>
                    </w:rPr>
                    <w:t>≥98%</w:t>
                  </w:r>
                </w:p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3750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采购物料质量合格数/采购物料总数×100%</w:t>
                  </w:r>
                </w:p>
              </w:tc>
              <w:tc>
                <w:tcPr>
                  <w:tcW w:w="2113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1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750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113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外部提供产品或服务的控制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 </w:t>
            </w:r>
          </w:p>
          <w:p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6.5</w:t>
            </w:r>
          </w:p>
        </w:tc>
        <w:tc>
          <w:tcPr>
            <w:tcW w:w="703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  <w:shd w:val="clear" w:color="auto" w:fill="auto"/>
          </w:tcPr>
          <w:p>
            <w:r>
              <w:rPr>
                <w:rFonts w:hint="eastAsia"/>
              </w:rPr>
              <w:t>如：《外部提供的过程、产品和服务的控制程序》或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  <w:color w:val="FF0000"/>
                <w:highlight w:val="none"/>
              </w:rPr>
            </w:pPr>
            <w:bookmarkStart w:id="0" w:name="_GoBack"/>
            <w:r>
              <w:rPr>
                <w:color w:val="FF0000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color w:val="FF0000"/>
                <w:highlight w:val="none"/>
              </w:rPr>
              <w:t>符合</w:t>
            </w:r>
          </w:p>
          <w:p>
            <w:pPr>
              <w:rPr>
                <w:rFonts w:ascii="宋体" w:hAnsi="宋体"/>
                <w:color w:val="FF0000"/>
                <w:highlight w:val="none"/>
              </w:rPr>
            </w:pPr>
            <w:r>
              <w:rPr>
                <w:color w:val="FF0000"/>
                <w:highlight w:val="none"/>
              </w:rPr>
              <w:sym w:font="Wingdings" w:char="00FE"/>
            </w:r>
            <w:r>
              <w:rPr>
                <w:rFonts w:hint="eastAsia" w:ascii="宋体" w:hAnsi="宋体"/>
                <w:color w:val="FF0000"/>
                <w:highlight w:val="none"/>
              </w:rPr>
              <w:t>不符合</w:t>
            </w:r>
          </w:p>
          <w:bookmarkEnd w:id="0"/>
          <w:p>
            <w:pPr>
              <w:rPr>
                <w:rFonts w:hint="eastAsia" w:ascii="宋体" w:hAnsi="宋体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0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  <w:shd w:val="clear" w:color="auto" w:fill="auto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 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虫害防治</w:t>
            </w:r>
            <w:r>
              <w:rPr>
                <w:rFonts w:hint="eastAsia"/>
              </w:rPr>
              <w:t xml:space="preserve">   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</w:rPr>
              <w:t>抽查新外部供方的评价记录名称：</w:t>
            </w:r>
            <w:r>
              <w:rPr>
                <w:rFonts w:hint="eastAsia"/>
                <w:highlight w:val="none"/>
                <w:u w:val="single"/>
              </w:rPr>
              <w:t>《合格供方名单 》</w:t>
            </w:r>
          </w:p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南京市溧水区宋记豆腐店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豆制品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92320117MA1QQCPA84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JY13201240050451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供</w:t>
                  </w:r>
                  <w:r>
                    <w:t>应</w:t>
                  </w:r>
                  <w:r>
                    <w:rPr>
                      <w:rFonts w:hint="eastAsia"/>
                    </w:rPr>
                    <w:t>产品</w:t>
                  </w:r>
                  <w:r>
                    <w:t>检验报告：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老外部供方的初始评价和选择要求——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</w:rPr>
              <w:t>抽查老外部供方的评价记录名称：</w:t>
            </w:r>
            <w:r>
              <w:rPr>
                <w:rFonts w:hint="eastAsia"/>
                <w:highlight w:val="none"/>
                <w:u w:val="single"/>
              </w:rPr>
              <w:t>《合格供方名单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南京强强食品有限公司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肉类、果蔬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91320117MA1MCU25XK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《食</w:t>
                  </w:r>
                  <w:r>
                    <w:rPr>
                      <w:highlight w:val="none"/>
                    </w:rPr>
                    <w:t>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经营/</w:t>
                  </w:r>
                  <w:r>
                    <w:rPr>
                      <w:highlight w:val="none"/>
                    </w:rPr>
                    <w:t>生产许可</w:t>
                  </w:r>
                  <w:r>
                    <w:rPr>
                      <w:rFonts w:hint="eastAsia"/>
                      <w:highlight w:val="none"/>
                    </w:rPr>
                    <w:t>证》编号：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JY13201240005627  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肉类：</w:t>
                  </w:r>
                </w:p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动</w:t>
                  </w:r>
                  <w:r>
                    <w:rPr>
                      <w:highlight w:val="none"/>
                    </w:rPr>
                    <w:t>物检</w:t>
                  </w:r>
                  <w:r>
                    <w:rPr>
                      <w:rFonts w:hint="eastAsia"/>
                      <w:highlight w:val="none"/>
                    </w:rPr>
                    <w:t>疫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合格</w:t>
                  </w:r>
                  <w:r>
                    <w:rPr>
                      <w:highlight w:val="none"/>
                    </w:rPr>
                    <w:t>证明</w:t>
                  </w:r>
                  <w:r>
                    <w:rPr>
                      <w:rFonts w:hint="eastAsia"/>
                      <w:highlight w:val="none"/>
                    </w:rPr>
                    <w:t>货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编号</w:t>
                  </w:r>
                  <w:r>
                    <w:rPr>
                      <w:rFonts w:hint="eastAsia"/>
                      <w:highlight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No. 3275339663，日期：2020-11-27；</w:t>
                  </w:r>
                </w:p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肉品品质检验合格证：No.AZ00228945,日期：2020-11-27；</w:t>
                  </w:r>
                </w:p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果蔬：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农残检测报告单，日期：2020-11-27，检测单位：南京强强食品有限公司，检测结论：合格。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继续为合格供方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不继续为合格供方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</w:tc>
            </w:tr>
          </w:tbl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南京市溧水区园村粮油门市部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粮油类、调料类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320124600102251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  <w:lang w:val="en-US" w:eastAsia="zh-CN"/>
                    </w:rPr>
                    <w:t>经营</w:t>
                  </w:r>
                  <w:r>
                    <w:t>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JY13201240009487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p>
            <w:pPr>
              <w:jc w:val="left"/>
              <w:rPr>
                <w:color w:val="FF0000"/>
                <w:highlight w:val="none"/>
              </w:rPr>
            </w:pPr>
            <w:r>
              <w:rPr>
                <w:rFonts w:hint="eastAsia"/>
                <w:color w:val="FF0000"/>
                <w:highlight w:val="none"/>
              </w:rPr>
              <w:t>抽查重要供方的评价记录名称：</w:t>
            </w:r>
            <w:r>
              <w:rPr>
                <w:rFonts w:hint="eastAsia"/>
                <w:color w:val="FF0000"/>
                <w:highlight w:val="none"/>
                <w:u w:val="single"/>
              </w:rPr>
              <w:t>《             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color w:val="FF0000"/>
                <w:highlight w:val="non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/>
          <w:p/>
          <w:p>
            <w:r>
              <w:rPr>
                <w:rFonts w:hint="eastAsia"/>
              </w:rPr>
              <w:t>原辅料、食品包装材料验收要求：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282"/>
              <w:gridCol w:w="283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原材料检验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外观、验证合格证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半成品首检</w:t>
                  </w:r>
                </w:p>
              </w:tc>
              <w:tc>
                <w:tcPr>
                  <w:tcW w:w="22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半成品检验</w:t>
                  </w:r>
                </w:p>
              </w:tc>
              <w:tc>
                <w:tcPr>
                  <w:tcW w:w="22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成品检验</w:t>
                  </w:r>
                </w:p>
              </w:tc>
              <w:tc>
                <w:tcPr>
                  <w:tcW w:w="22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100%目测</w:t>
                  </w:r>
                </w:p>
              </w:tc>
              <w:tc>
                <w:tcPr>
                  <w:tcW w:w="283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外观、品尝（必要时）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服务放行</w:t>
                  </w:r>
                </w:p>
              </w:tc>
              <w:tc>
                <w:tcPr>
                  <w:tcW w:w="22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目测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</w:tbl>
          <w:p/>
          <w:p>
            <w:r>
              <w:rPr>
                <w:rFonts w:hint="eastAsia"/>
              </w:rPr>
              <w:t>必要时制定食品添加剂控制措施：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03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13" w:type="dxa"/>
            <w:shd w:val="clear" w:color="auto" w:fill="auto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3" w:type="dxa"/>
          </w:tcPr>
          <w:p/>
        </w:tc>
        <w:tc>
          <w:tcPr>
            <w:tcW w:w="9213" w:type="dxa"/>
          </w:tcPr>
          <w:p/>
        </w:tc>
        <w:tc>
          <w:tcPr>
            <w:tcW w:w="1673" w:type="dxa"/>
            <w:vMerge w:val="continue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400E2"/>
    <w:rsid w:val="00046B29"/>
    <w:rsid w:val="000529DE"/>
    <w:rsid w:val="00053433"/>
    <w:rsid w:val="00062E46"/>
    <w:rsid w:val="00076568"/>
    <w:rsid w:val="00083BA1"/>
    <w:rsid w:val="00090A2E"/>
    <w:rsid w:val="00094A09"/>
    <w:rsid w:val="000A0E95"/>
    <w:rsid w:val="000A2DC3"/>
    <w:rsid w:val="000A4527"/>
    <w:rsid w:val="000A694D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2D43"/>
    <w:rsid w:val="00227EA7"/>
    <w:rsid w:val="0023207B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698A"/>
    <w:rsid w:val="002E3817"/>
    <w:rsid w:val="002E4058"/>
    <w:rsid w:val="002F3D02"/>
    <w:rsid w:val="002F5E3E"/>
    <w:rsid w:val="00310B9F"/>
    <w:rsid w:val="00310F4E"/>
    <w:rsid w:val="003117A9"/>
    <w:rsid w:val="00314AF6"/>
    <w:rsid w:val="00316B55"/>
    <w:rsid w:val="00321794"/>
    <w:rsid w:val="00323B3F"/>
    <w:rsid w:val="00327854"/>
    <w:rsid w:val="003367C2"/>
    <w:rsid w:val="00337922"/>
    <w:rsid w:val="00340867"/>
    <w:rsid w:val="00347128"/>
    <w:rsid w:val="003577AF"/>
    <w:rsid w:val="00372682"/>
    <w:rsid w:val="0037346E"/>
    <w:rsid w:val="00380837"/>
    <w:rsid w:val="00387D8C"/>
    <w:rsid w:val="00390F88"/>
    <w:rsid w:val="00393DB8"/>
    <w:rsid w:val="003974A1"/>
    <w:rsid w:val="003A1420"/>
    <w:rsid w:val="003A1651"/>
    <w:rsid w:val="003A198A"/>
    <w:rsid w:val="003A430D"/>
    <w:rsid w:val="003A5F36"/>
    <w:rsid w:val="003B15B0"/>
    <w:rsid w:val="003B1DA6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500E34"/>
    <w:rsid w:val="005063D1"/>
    <w:rsid w:val="005075FC"/>
    <w:rsid w:val="00527E7A"/>
    <w:rsid w:val="00527ED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73FCA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74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41514"/>
    <w:rsid w:val="00751B8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50112"/>
    <w:rsid w:val="009558AB"/>
    <w:rsid w:val="009710A4"/>
    <w:rsid w:val="00971600"/>
    <w:rsid w:val="00993002"/>
    <w:rsid w:val="009973B4"/>
    <w:rsid w:val="00997D7E"/>
    <w:rsid w:val="009C0C68"/>
    <w:rsid w:val="009C28C1"/>
    <w:rsid w:val="009D1C39"/>
    <w:rsid w:val="009D560D"/>
    <w:rsid w:val="009E3837"/>
    <w:rsid w:val="009F355A"/>
    <w:rsid w:val="009F4716"/>
    <w:rsid w:val="009F7EED"/>
    <w:rsid w:val="00A00C1B"/>
    <w:rsid w:val="00A01DA2"/>
    <w:rsid w:val="00A03D08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A7F47"/>
    <w:rsid w:val="00AB4E05"/>
    <w:rsid w:val="00AB5DEC"/>
    <w:rsid w:val="00AD1316"/>
    <w:rsid w:val="00AE4523"/>
    <w:rsid w:val="00AF0AAB"/>
    <w:rsid w:val="00AF0FC6"/>
    <w:rsid w:val="00AF2881"/>
    <w:rsid w:val="00B03F24"/>
    <w:rsid w:val="00B07DDE"/>
    <w:rsid w:val="00B11607"/>
    <w:rsid w:val="00B30E82"/>
    <w:rsid w:val="00B42EA5"/>
    <w:rsid w:val="00B46C08"/>
    <w:rsid w:val="00B55BDF"/>
    <w:rsid w:val="00B567BF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377A"/>
    <w:rsid w:val="00BB5074"/>
    <w:rsid w:val="00BD7DFB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E09DB"/>
    <w:rsid w:val="00DE580A"/>
    <w:rsid w:val="00DE68AE"/>
    <w:rsid w:val="00DF3797"/>
    <w:rsid w:val="00E10F37"/>
    <w:rsid w:val="00E11177"/>
    <w:rsid w:val="00E25357"/>
    <w:rsid w:val="00E27C2C"/>
    <w:rsid w:val="00E30139"/>
    <w:rsid w:val="00E40EAB"/>
    <w:rsid w:val="00E43AC1"/>
    <w:rsid w:val="00E446DE"/>
    <w:rsid w:val="00E50F82"/>
    <w:rsid w:val="00E53C08"/>
    <w:rsid w:val="00E55708"/>
    <w:rsid w:val="00E6224C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63434"/>
    <w:rsid w:val="00F636CA"/>
    <w:rsid w:val="00F63B67"/>
    <w:rsid w:val="00F7303B"/>
    <w:rsid w:val="00F806C0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F3D52"/>
    <w:rsid w:val="00FF6C4D"/>
    <w:rsid w:val="01260C71"/>
    <w:rsid w:val="0148246F"/>
    <w:rsid w:val="01A95805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431D58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0F92FA8"/>
    <w:rsid w:val="111174C8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0A02FB"/>
    <w:rsid w:val="241A6B34"/>
    <w:rsid w:val="24285E2F"/>
    <w:rsid w:val="242A7B69"/>
    <w:rsid w:val="24553A74"/>
    <w:rsid w:val="246A25EE"/>
    <w:rsid w:val="247622DE"/>
    <w:rsid w:val="2480482A"/>
    <w:rsid w:val="2483299C"/>
    <w:rsid w:val="24917F36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A900E1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853E65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2FFE6BBD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994264"/>
    <w:rsid w:val="35D721CD"/>
    <w:rsid w:val="36174333"/>
    <w:rsid w:val="3623081B"/>
    <w:rsid w:val="362B5212"/>
    <w:rsid w:val="362F467D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693FD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1C1219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EC26A7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5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DB151B-FA20-4AFF-AB34-91E43C6F74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652</Words>
  <Characters>3723</Characters>
  <Lines>31</Lines>
  <Paragraphs>8</Paragraphs>
  <TotalTime>1</TotalTime>
  <ScaleCrop>false</ScaleCrop>
  <LinksUpToDate>false</LinksUpToDate>
  <CharactersWithSpaces>4367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肖新龙</cp:lastModifiedBy>
  <dcterms:modified xsi:type="dcterms:W3CDTF">2020-12-03T14:38:25Z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