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71"/>
        <w:gridCol w:w="958"/>
        <w:gridCol w:w="10"/>
        <w:gridCol w:w="699"/>
        <w:gridCol w:w="445"/>
        <w:gridCol w:w="799"/>
        <w:gridCol w:w="498"/>
        <w:gridCol w:w="86"/>
        <w:gridCol w:w="1605"/>
        <w:gridCol w:w="667"/>
        <w:gridCol w:w="695"/>
        <w:gridCol w:w="219"/>
        <w:gridCol w:w="64"/>
        <w:gridCol w:w="477"/>
        <w:gridCol w:w="203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67" w:type="dxa"/>
            <w:gridSpan w:val="15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南京佐景电子商务有限公司南京市溧水区石湫街道影视大道9号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67" w:type="dxa"/>
            <w:gridSpan w:val="15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南京市溧水区石湫街道影视大道9号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67" w:type="dxa"/>
            <w:gridSpan w:val="15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江苏省南京市溧水区石湫街道雨山路1号石湫街道办事处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09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张西然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18963623200</w:t>
            </w:r>
          </w:p>
        </w:tc>
        <w:tc>
          <w:tcPr>
            <w:tcW w:w="74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34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609700510@qq.com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7" w:type="dxa"/>
            <w:gridSpan w:val="2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409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最高管理者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宋文豪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1" w:name="联系人传真"/>
            <w:bookmarkEnd w:id="1"/>
            <w:r>
              <w:rPr>
                <w:sz w:val="21"/>
                <w:szCs w:val="21"/>
              </w:rPr>
              <w:t>18963623200</w:t>
            </w:r>
          </w:p>
        </w:tc>
        <w:tc>
          <w:tcPr>
            <w:tcW w:w="74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34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" w:name="联系人邮箱"/>
            <w:bookmarkEnd w:id="2"/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</w:p>
        </w:tc>
        <w:tc>
          <w:tcPr>
            <w:tcW w:w="340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0644-2020-FH 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3667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☑FSMS ☑HACCP  □EnMS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67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3" w:name="审核类型ZB"/>
            <w:r>
              <w:rPr>
                <w:rFonts w:hint="eastAsia" w:ascii="宋体" w:hAnsi="宋体"/>
                <w:b/>
                <w:bCs/>
                <w:sz w:val="20"/>
              </w:rPr>
              <w:t xml:space="preserve">☑初次认证第（二）阶段  □监督审核 </w:t>
            </w:r>
            <w:bookmarkEnd w:id="3"/>
            <w:r>
              <w:rPr>
                <w:rFonts w:hint="eastAsia" w:ascii="宋体" w:hAnsi="宋体"/>
                <w:b/>
                <w:bCs/>
                <w:sz w:val="20"/>
              </w:rPr>
              <w:t>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67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☑第二阶段审核：验证组织管理体系的建立、实施运行的符合性及有效性，以确定是否推荐认证注册。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447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958" w:type="dxa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5787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342" w:type="dxa"/>
            <w:vAlign w:val="center"/>
          </w:tcPr>
          <w:p>
            <w:pPr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47" w:type="dxa"/>
            <w:gridSpan w:val="2"/>
            <w:vMerge w:val="continue"/>
            <w:vAlign w:val="center"/>
          </w:tcPr>
          <w:p/>
        </w:tc>
        <w:tc>
          <w:tcPr>
            <w:tcW w:w="95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</w:p>
        </w:tc>
        <w:tc>
          <w:tcPr>
            <w:tcW w:w="5787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47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8" w:type="dxa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EMS</w:t>
            </w:r>
          </w:p>
        </w:tc>
        <w:tc>
          <w:tcPr>
            <w:tcW w:w="5787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447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8" w:type="dxa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OHSMS</w:t>
            </w:r>
          </w:p>
        </w:tc>
        <w:tc>
          <w:tcPr>
            <w:tcW w:w="5787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447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</w:p>
        </w:tc>
        <w:tc>
          <w:tcPr>
            <w:tcW w:w="5787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位于江苏省南京市溧水区石湫街道雨山路1号石湫街道办事处</w:t>
            </w:r>
            <w:r>
              <w:rPr>
                <w:sz w:val="21"/>
                <w:szCs w:val="21"/>
              </w:rPr>
              <w:t>内的食堂的餐饮管理服务（热食类食品制售）</w:t>
            </w:r>
          </w:p>
        </w:tc>
        <w:tc>
          <w:tcPr>
            <w:tcW w:w="680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447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HACCP</w:t>
            </w:r>
          </w:p>
        </w:tc>
        <w:tc>
          <w:tcPr>
            <w:tcW w:w="5787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位于江苏省南京市溧水区石湫街道雨山路1号石湫街道办事处</w:t>
            </w:r>
            <w:r>
              <w:rPr>
                <w:sz w:val="21"/>
                <w:szCs w:val="21"/>
              </w:rPr>
              <w:t>内的食堂的餐饮管理服务（热食类食品制售）</w:t>
            </w:r>
          </w:p>
        </w:tc>
        <w:tc>
          <w:tcPr>
            <w:tcW w:w="680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47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8" w:type="dxa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EnMS</w:t>
            </w:r>
          </w:p>
        </w:tc>
        <w:tc>
          <w:tcPr>
            <w:tcW w:w="5787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67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□GB/T28001-2011      □GB/T45001：2020标准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GBT 27306-2008 食品安全管理体系 餐饮业要求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47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67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   年  月  日 上午至20   年  月   日 下午 (共  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7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767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 xml:space="preserve">现场审核于2020年 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 xml:space="preserve"> 月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  <w:r>
              <w:rPr>
                <w:rFonts w:hint="eastAsia"/>
                <w:b/>
                <w:sz w:val="20"/>
              </w:rPr>
              <w:t xml:space="preserve"> 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午至2020年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67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14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767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4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注册资格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兼职审核员现工作单位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组长（H被张静见证）</w:t>
            </w:r>
          </w:p>
        </w:tc>
        <w:tc>
          <w:tcPr>
            <w:tcW w:w="95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F:审核员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H:审核员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N1FSMS-1232380 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val="en-US" w:eastAsia="zh-CN"/>
              </w:rPr>
              <w:t>2020-N1HACCP-1232380</w:t>
            </w:r>
            <w:r>
              <w:rPr>
                <w:rFonts w:eastAsia="微软雅黑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员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见证陈丽丹F，见证肖新龙H组长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张静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H:审核</w:t>
            </w:r>
            <w:r>
              <w:rPr>
                <w:rFonts w:hint="eastAsia"/>
                <w:sz w:val="18"/>
                <w:szCs w:val="18"/>
              </w:rPr>
              <w:t>员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spacing w:line="240" w:lineRule="exac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2017-N1FSMS-2011923</w:t>
            </w:r>
          </w:p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2018-N1HACCP-1011923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F:E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H:E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13501146660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审核员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陈丽丹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F:实习审核员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H:实习审核员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N0FSMS-1246137 </w:t>
            </w:r>
          </w:p>
          <w:p>
            <w:pPr>
              <w:numPr>
                <w:ilvl w:val="0"/>
                <w:numId w:val="2"/>
              </w:num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考试合格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上海吉元德食品有限公司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13818030725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审核员2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spacing w:line="240" w:lineRule="exac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14" w:type="dxa"/>
            <w:gridSpan w:val="1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76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0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6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760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>
            <w:r>
              <w:rPr>
                <w:rFonts w:hint="eastAsia"/>
              </w:rPr>
              <w:t>技术专家1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vAlign w:val="center"/>
          </w:tcPr>
          <w:p/>
        </w:tc>
        <w:tc>
          <w:tcPr>
            <w:tcW w:w="15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76" w:type="dxa"/>
            <w:vAlign w:val="center"/>
          </w:tcPr>
          <w:p>
            <w:r>
              <w:rPr>
                <w:rFonts w:hint="eastAsia"/>
              </w:rPr>
              <w:t>技术专家</w:t>
            </w:r>
            <w:r>
              <w:t>2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/>
        </w:tc>
        <w:tc>
          <w:tcPr>
            <w:tcW w:w="760" w:type="dxa"/>
            <w:gridSpan w:val="3"/>
            <w:vAlign w:val="center"/>
          </w:tcPr>
          <w:p/>
        </w:tc>
        <w:tc>
          <w:tcPr>
            <w:tcW w:w="15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214" w:type="dxa"/>
            <w:gridSpan w:val="17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12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383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54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12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383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12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1-25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0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tbl>
      <w:tblPr>
        <w:tblStyle w:val="5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2941"/>
        <w:gridCol w:w="2566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2020-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11-28下午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第一天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12:55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ind w:firstLine="181" w:firstLineChars="10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566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13:30</w:t>
            </w:r>
          </w:p>
        </w:tc>
        <w:tc>
          <w:tcPr>
            <w:tcW w:w="1370" w:type="dxa"/>
            <w:shd w:val="clear" w:color="auto" w:fill="FBD4B4" w:themeFill="accent6" w:themeFillTint="66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2941" w:type="dxa"/>
            <w:shd w:val="clear" w:color="auto" w:fill="FBD4B4" w:themeFill="accent6" w:themeFillTint="66"/>
          </w:tcPr>
          <w:p>
            <w:pPr>
              <w:spacing w:line="30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总要求、认证范围、过程方法、</w:t>
            </w:r>
            <w:r>
              <w:rPr>
                <w:rFonts w:hint="eastAsia"/>
                <w:sz w:val="18"/>
                <w:szCs w:val="18"/>
              </w:rPr>
              <w:t>内外部因素、相关方及期望、风险和机遇的控制、</w:t>
            </w:r>
            <w:r>
              <w:rPr>
                <w:rFonts w:hint="eastAsia" w:ascii="宋体" w:hAnsi="宋体"/>
                <w:sz w:val="18"/>
                <w:szCs w:val="18"/>
              </w:rPr>
              <w:t>方针和目标，资源管理、领导作用、岗位和职责、目标管理、内外部沟通、持续改进的机制、重大投诉处理、重大体系事故和变更管理、应急准备和响应，顾客反馈、产品召回、行业抽查情况、持续改进</w:t>
            </w:r>
            <w:r>
              <w:rPr>
                <w:rFonts w:hint="eastAsia" w:cs="Arial"/>
                <w:bCs/>
                <w:sz w:val="18"/>
                <w:szCs w:val="18"/>
              </w:rPr>
              <w:t>、内部审核、管理评审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566" w:type="dxa"/>
            <w:shd w:val="clear" w:color="auto" w:fill="FBD4B4" w:themeFill="accent6" w:themeFillTint="66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FSMS：4.1</w:t>
            </w:r>
            <w:r>
              <w:rPr>
                <w:rFonts w:cs="Arial"/>
                <w:bCs/>
                <w:sz w:val="18"/>
                <w:szCs w:val="18"/>
              </w:rPr>
              <w:t>/4.2/4.3/4.4/5.1</w:t>
            </w:r>
            <w:r>
              <w:rPr>
                <w:rFonts w:hint="eastAsia"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5.2</w:t>
            </w:r>
            <w:r>
              <w:rPr>
                <w:rFonts w:hint="eastAsia"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5.3</w:t>
            </w:r>
            <w:r>
              <w:rPr>
                <w:rFonts w:hint="eastAsia" w:cs="Arial"/>
                <w:bCs/>
                <w:sz w:val="18"/>
                <w:szCs w:val="18"/>
              </w:rPr>
              <w:t>/6.1/6.2/6.3/7.1</w:t>
            </w:r>
            <w:r>
              <w:rPr>
                <w:rFonts w:cs="Arial"/>
                <w:bCs/>
                <w:sz w:val="18"/>
                <w:szCs w:val="18"/>
              </w:rPr>
              <w:t>.1/</w:t>
            </w:r>
            <w:r>
              <w:rPr>
                <w:rFonts w:hint="eastAsia" w:cs="Arial"/>
                <w:bCs/>
                <w:sz w:val="18"/>
                <w:szCs w:val="18"/>
              </w:rPr>
              <w:t>7.4/9.1.1/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9.2/</w:t>
            </w:r>
            <w:r>
              <w:rPr>
                <w:rFonts w:hint="eastAsia" w:cs="Arial"/>
                <w:bCs/>
                <w:sz w:val="18"/>
                <w:szCs w:val="18"/>
              </w:rPr>
              <w:t>9.3/</w:t>
            </w:r>
            <w:r>
              <w:rPr>
                <w:rFonts w:cs="Arial"/>
                <w:bCs/>
                <w:sz w:val="18"/>
                <w:szCs w:val="18"/>
              </w:rPr>
              <w:t>10.2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/10.3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H:</w:t>
            </w:r>
          </w:p>
          <w:p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4.1/4.2.1/4.2.2/5.1/5.2/5.3/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5.4/</w:t>
            </w:r>
            <w:r>
              <w:rPr>
                <w:sz w:val="18"/>
                <w:szCs w:val="18"/>
              </w:rPr>
              <w:t>5.5及GB14881相关条款内容及1.0要求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D6E3BC" w:themeFill="accent3" w:themeFillTint="66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13:30</w:t>
            </w:r>
          </w:p>
        </w:tc>
        <w:tc>
          <w:tcPr>
            <w:tcW w:w="1370" w:type="dxa"/>
            <w:shd w:val="clear" w:color="auto" w:fill="D6E3BC" w:themeFill="accent3" w:themeFillTint="66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10"/>
                <w:sz w:val="18"/>
                <w:szCs w:val="18"/>
              </w:rPr>
              <w:t>食品安全小组组长/HACCP</w:t>
            </w:r>
            <w:r>
              <w:rPr>
                <w:rFonts w:hint="eastAsia" w:ascii="宋体" w:hAnsi="宋体"/>
                <w:b/>
                <w:bCs/>
                <w:spacing w:val="40"/>
                <w:kern w:val="10"/>
                <w:sz w:val="18"/>
                <w:szCs w:val="18"/>
              </w:rPr>
              <w:t>小组长</w:t>
            </w:r>
          </w:p>
        </w:tc>
        <w:tc>
          <w:tcPr>
            <w:tcW w:w="2941" w:type="dxa"/>
            <w:shd w:val="clear" w:color="auto" w:fill="D6E3BC" w:themeFill="accent3" w:themeFillTint="66"/>
          </w:tcPr>
          <w:p>
            <w:pPr>
              <w:spacing w:line="30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食品安全/HACCP小组、前提方案、实施危害分析的预备步骤、危害分析</w:t>
            </w:r>
            <w:r>
              <w:rPr>
                <w:rFonts w:hint="eastAsia" w:ascii="宋体" w:hAnsi="宋体" w:cs="宋体"/>
                <w:sz w:val="18"/>
                <w:szCs w:val="18"/>
              </w:rPr>
              <w:t>和制定控制措施</w:t>
            </w:r>
            <w:r>
              <w:rPr>
                <w:rFonts w:hint="eastAsia" w:ascii="宋体" w:hAnsi="宋体"/>
                <w:sz w:val="18"/>
                <w:szCs w:val="18"/>
              </w:rPr>
              <w:t>、操作性前提方案(PRPs)的建立、HACCP计划的建立、预备信息的更新、规定前提方案和HACCP计划文件的更新、验证策划、标识和可追溯性系统/计划、控制措施组合的确认、食品安全管理体系的验证、改进、产品召回、应急预案、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H</w:t>
            </w:r>
            <w:r>
              <w:rPr>
                <w:rFonts w:ascii="宋体" w:hAnsi="宋体" w:cs="宋体"/>
                <w:sz w:val="18"/>
                <w:szCs w:val="18"/>
              </w:rPr>
              <w:t>ACCP</w:t>
            </w:r>
            <w:r>
              <w:rPr>
                <w:rFonts w:hint="eastAsia" w:ascii="宋体" w:hAnsi="宋体" w:cs="宋体"/>
                <w:sz w:val="18"/>
                <w:szCs w:val="18"/>
              </w:rPr>
              <w:t>记录的保持、食品欺诈和过敏原控制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食品安全管理体系更新</w:t>
            </w:r>
          </w:p>
        </w:tc>
        <w:tc>
          <w:tcPr>
            <w:tcW w:w="2566" w:type="dxa"/>
            <w:shd w:val="clear" w:color="auto" w:fill="D6E3BC" w:themeFill="accent3" w:themeFillTint="66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</w:t>
            </w:r>
            <w:r>
              <w:rPr>
                <w:rFonts w:hint="eastAsia" w:cs="Arial"/>
                <w:bCs/>
                <w:sz w:val="18"/>
                <w:szCs w:val="18"/>
              </w:rPr>
              <w:t>7.1.5/</w:t>
            </w:r>
            <w:r>
              <w:rPr>
                <w:rFonts w:cs="Arial"/>
                <w:bCs/>
                <w:sz w:val="18"/>
                <w:szCs w:val="18"/>
              </w:rPr>
              <w:t>8.1/8.2/8.3/8.4/8.5/8.6/8.8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cs="Arial"/>
                <w:bCs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H:6.1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 xml:space="preserve">6.3/6.4/6.7/6.8/ </w:t>
            </w:r>
            <w:r>
              <w:rPr>
                <w:sz w:val="18"/>
                <w:szCs w:val="18"/>
              </w:rPr>
              <w:t>7.1-7.9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GB14881:</w:t>
            </w:r>
            <w:r>
              <w:rPr>
                <w:sz w:val="18"/>
                <w:szCs w:val="18"/>
              </w:rPr>
              <w:t>3/4/5/6/8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9/11/13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D6E3BC" w:themeFill="accent3" w:themeFillTint="66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BC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16:30</w:t>
            </w:r>
          </w:p>
        </w:tc>
        <w:tc>
          <w:tcPr>
            <w:tcW w:w="1370" w:type="dxa"/>
            <w:shd w:val="clear" w:color="auto" w:fill="FBD4B4" w:themeFill="accent6" w:themeFillTint="66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10"/>
                <w:sz w:val="18"/>
                <w:szCs w:val="18"/>
                <w:lang w:val="en-US" w:eastAsia="zh-CN"/>
              </w:rPr>
              <w:t>营销部</w:t>
            </w:r>
          </w:p>
        </w:tc>
        <w:tc>
          <w:tcPr>
            <w:tcW w:w="2941" w:type="dxa"/>
            <w:shd w:val="clear" w:color="auto" w:fill="FBD4B4" w:themeFill="accent6" w:themeFillTint="66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（采购管理、仓库管理）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目标、职责、基础设施、</w:t>
            </w:r>
            <w:r>
              <w:rPr>
                <w:rFonts w:hint="eastAsia"/>
                <w:sz w:val="18"/>
                <w:szCs w:val="18"/>
              </w:rPr>
              <w:t>工作环境控制、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hint="eastAsia" w:cs="Arial"/>
                <w:bCs/>
                <w:sz w:val="18"/>
                <w:szCs w:val="18"/>
              </w:rPr>
              <w:t>前提方案、关键控制点的监视系统、可追溯性系统、潜在不符合品控制</w:t>
            </w:r>
            <w:r>
              <w:rPr>
                <w:rFonts w:hint="eastAsia" w:cs="Arial"/>
                <w:sz w:val="18"/>
                <w:szCs w:val="18"/>
              </w:rPr>
              <w:t>、产品特性、预期用途、撤回/召回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外部提供的过程、产品或服务控制、原材料和包装材料保障计划、食品欺诈和过敏原控制</w:t>
            </w:r>
          </w:p>
        </w:tc>
        <w:tc>
          <w:tcPr>
            <w:tcW w:w="2566" w:type="dxa"/>
            <w:shd w:val="clear" w:color="auto" w:fill="FBD4B4" w:themeFill="accent6" w:themeFillTint="66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  <w:r>
              <w:rPr>
                <w:rFonts w:hint="eastAsia"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.3/6.2/</w:t>
            </w:r>
            <w:r>
              <w:rPr>
                <w:rFonts w:cs="Arial"/>
                <w:sz w:val="18"/>
                <w:szCs w:val="18"/>
              </w:rPr>
              <w:t>7.1.6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H: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5.2/5.31/</w:t>
            </w:r>
            <w:r>
              <w:rPr>
                <w:sz w:val="18"/>
                <w:szCs w:val="18"/>
              </w:rPr>
              <w:t>6.5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B14881:7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bCs/>
                <w:sz w:val="18"/>
                <w:szCs w:val="18"/>
              </w:rPr>
              <w:t>HACCP</w:t>
            </w:r>
            <w:r>
              <w:rPr>
                <w:rFonts w:hint="eastAsia" w:cs="Arial"/>
                <w:bCs/>
                <w:sz w:val="18"/>
                <w:szCs w:val="18"/>
              </w:rPr>
              <w:t>1.0要求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17:00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审核组整理资料和管代沟通</w:t>
            </w:r>
          </w:p>
        </w:tc>
        <w:tc>
          <w:tcPr>
            <w:tcW w:w="2566" w:type="dxa"/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:30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第一天审核结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束</w:t>
            </w:r>
          </w:p>
        </w:tc>
        <w:tc>
          <w:tcPr>
            <w:tcW w:w="2566" w:type="dxa"/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  <w:bottom w:val="nil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2020-1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1-29</w:t>
            </w: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第二天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after="40"/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8:25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after="40"/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after="4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25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137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10"/>
                <w:sz w:val="18"/>
                <w:szCs w:val="18"/>
                <w:lang w:val="en-US" w:eastAsia="zh-CN"/>
              </w:rPr>
              <w:t>营销部</w:t>
            </w:r>
          </w:p>
        </w:tc>
        <w:tc>
          <w:tcPr>
            <w:tcW w:w="2941" w:type="dxa"/>
            <w:shd w:val="clear" w:color="auto" w:fill="FBD4B4" w:themeFill="accent6" w:themeFillTint="66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（采购管理、仓库管理）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目标、职责、基础设施、</w:t>
            </w:r>
            <w:r>
              <w:rPr>
                <w:rFonts w:hint="eastAsia"/>
                <w:sz w:val="18"/>
                <w:szCs w:val="18"/>
              </w:rPr>
              <w:t>工作环境控制、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hint="eastAsia" w:cs="Arial"/>
                <w:bCs/>
                <w:sz w:val="18"/>
                <w:szCs w:val="18"/>
              </w:rPr>
              <w:t>前提方案、关键控制点的监视系统、可追溯性系统、潜在不符合品控制</w:t>
            </w:r>
            <w:r>
              <w:rPr>
                <w:rFonts w:hint="eastAsia" w:cs="Arial"/>
                <w:sz w:val="18"/>
                <w:szCs w:val="18"/>
              </w:rPr>
              <w:t>、产品特性、预期用途、撤回/召回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外部提供的过程、产品或服务控制、原材料和包装材料保障计划、食品欺诈和过敏原控制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566" w:type="dxa"/>
            <w:shd w:val="clear" w:color="auto" w:fill="FBD4B4" w:themeFill="accent6" w:themeFillTint="66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  <w:r>
              <w:rPr>
                <w:rFonts w:hint="eastAsia"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.3/6.2/</w:t>
            </w:r>
            <w:r>
              <w:rPr>
                <w:rFonts w:cs="Arial"/>
                <w:sz w:val="18"/>
                <w:szCs w:val="18"/>
              </w:rPr>
              <w:t>7.1.6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H: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5.2/5.31/</w:t>
            </w:r>
            <w:r>
              <w:rPr>
                <w:sz w:val="18"/>
                <w:szCs w:val="18"/>
              </w:rPr>
              <w:t>6.5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B14881:7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bCs/>
                <w:sz w:val="18"/>
                <w:szCs w:val="18"/>
              </w:rPr>
              <w:t>HACCP</w:t>
            </w:r>
            <w:r>
              <w:rPr>
                <w:rFonts w:hint="eastAsia" w:cs="Arial"/>
                <w:bCs/>
                <w:sz w:val="18"/>
                <w:szCs w:val="18"/>
              </w:rPr>
              <w:t>1.0要求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D6E3BC" w:themeFill="accent3" w:themeFillTint="66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1370" w:type="dxa"/>
            <w:shd w:val="clear" w:color="auto" w:fill="D6E3BC" w:themeFill="accent3" w:themeFillTint="66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餐饮服务</w:t>
            </w:r>
            <w:r>
              <w:rPr>
                <w:rFonts w:hint="eastAsia"/>
                <w:b/>
                <w:bCs/>
                <w:sz w:val="18"/>
                <w:szCs w:val="18"/>
              </w:rPr>
              <w:t>部(含质检）及现场</w:t>
            </w:r>
          </w:p>
        </w:tc>
        <w:tc>
          <w:tcPr>
            <w:tcW w:w="2941" w:type="dxa"/>
            <w:shd w:val="clear" w:color="auto" w:fill="D6E3BC" w:themeFill="accent3" w:themeFillTint="66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Arial"/>
                <w:b w:val="0"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基础设施、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u w:val="none"/>
              </w:rPr>
              <w:t>工作环境</w:t>
            </w:r>
            <w:r>
              <w:rPr>
                <w:rFonts w:hint="eastAsia"/>
                <w:b w:val="0"/>
                <w:bCs/>
                <w:sz w:val="18"/>
                <w:szCs w:val="18"/>
                <w:u w:val="none"/>
              </w:rPr>
              <w:t>控制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、关键控制点的监视系统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及纠偏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、可追溯性系统、潜在不符合品控制、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GMP,SSOP的现场情况、原材料和包装材料保障计划的现场情况、产品防护计划、维护和保障计划和控制、食品欺诈和过敏原控制、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过程和产品的监视和测量、撤回/召回、应急准备和响应、食品添加剂管理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66" w:type="dxa"/>
            <w:shd w:val="clear" w:color="auto" w:fill="D6E3BC" w:themeFill="accent3" w:themeFillTint="66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</w:p>
          <w:p>
            <w:pPr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5.3/6.2/7.1.3/7.1.4/8.1/8.2/8.3/8.4/8.5/8.6/8.7/8.9.1-8.9.4/9.1.1/10.1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H:6.3/6.4/6.5/6.6/6.7/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7.4/7.5/</w:t>
            </w:r>
            <w:r>
              <w:rPr>
                <w:sz w:val="18"/>
                <w:szCs w:val="18"/>
              </w:rPr>
              <w:t>7.6/7.7/7.8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GB14881: 3/4/5/6/7/8/9/10/11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D6E3BC" w:themeFill="accent3" w:themeFillTint="66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BC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snapToGrid w:val="0"/>
              <w:spacing w:line="28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12：30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午餐</w:t>
            </w:r>
          </w:p>
        </w:tc>
        <w:tc>
          <w:tcPr>
            <w:tcW w:w="2941" w:type="dxa"/>
            <w:shd w:val="clear" w:color="auto" w:fill="auto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  <w:vAlign w:val="top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A</w:t>
            </w:r>
            <w:r>
              <w:rPr>
                <w:rFonts w:ascii="宋体" w:hAnsi="宋体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D6E3BC" w:themeFill="accent3" w:themeFillTint="66"/>
            <w:vAlign w:val="top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13:00</w:t>
            </w:r>
          </w:p>
        </w:tc>
        <w:tc>
          <w:tcPr>
            <w:tcW w:w="1370" w:type="dxa"/>
            <w:shd w:val="clear" w:color="auto" w:fill="D6E3BC" w:themeFill="accent3" w:themeFillTint="66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餐饮服务</w:t>
            </w:r>
            <w:r>
              <w:rPr>
                <w:rFonts w:hint="eastAsia"/>
                <w:b/>
                <w:bCs/>
                <w:sz w:val="18"/>
                <w:szCs w:val="18"/>
              </w:rPr>
              <w:t>部(含质检）及现场</w:t>
            </w:r>
          </w:p>
        </w:tc>
        <w:tc>
          <w:tcPr>
            <w:tcW w:w="2941" w:type="dxa"/>
            <w:shd w:val="clear" w:color="auto" w:fill="D6E3BC" w:themeFill="accent3" w:themeFillTint="66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Arial"/>
                <w:b w:val="0"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基础设施、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u w:val="none"/>
              </w:rPr>
              <w:t>工作环境</w:t>
            </w:r>
            <w:r>
              <w:rPr>
                <w:rFonts w:hint="eastAsia"/>
                <w:b w:val="0"/>
                <w:bCs/>
                <w:sz w:val="18"/>
                <w:szCs w:val="18"/>
                <w:u w:val="none"/>
              </w:rPr>
              <w:t>控制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、关键控制点的监视系统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及纠偏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、可追溯性系统、潜在不符合品控制、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GMP,SSOP的现场情况、原材料和包装材料保障计划的现场情况、产品防护计划、维护和保障计划和控制、食品欺诈和过敏原控制、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过程和产品的监视和测量、撤回/召回、应急准备和响应、食品添加剂管理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继续审核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66" w:type="dxa"/>
            <w:shd w:val="clear" w:color="auto" w:fill="D6E3BC" w:themeFill="accent3" w:themeFillTint="66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</w:p>
          <w:p>
            <w:pPr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5.3/6.2/7.1.3/7.1.4/8.1/8.2/8.3/8.4/8.5/8.6/8.7/8.9.1-8.9.4/9.1.1/10.1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H:6.3/6.4/6.5/6.6/6.7/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7.4/7.5/</w:t>
            </w:r>
            <w:r>
              <w:rPr>
                <w:sz w:val="18"/>
                <w:szCs w:val="18"/>
              </w:rPr>
              <w:t>7.6/7.7/7.8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GB14881: 3/4/5/6/7/8/9/10/11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D6E3BC" w:themeFill="accent3" w:themeFillTint="66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280" w:lineRule="exact"/>
              <w:rPr>
                <w:rFonts w:hint="default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15:30</w:t>
            </w:r>
          </w:p>
        </w:tc>
        <w:tc>
          <w:tcPr>
            <w:tcW w:w="1370" w:type="dxa"/>
            <w:shd w:val="clear" w:color="auto" w:fill="FBD4B4" w:themeFill="accent6" w:themeFillTint="66"/>
            <w:vAlign w:val="top"/>
          </w:tcPr>
          <w:p>
            <w:pPr>
              <w:spacing w:after="40"/>
              <w:rPr>
                <w:rFonts w:hint="eastAsia" w:ascii="宋体" w:hAnsi="宋体" w:eastAsia="宋体" w:cs="Times New Roman"/>
                <w:b/>
                <w:bCs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pacing w:val="40"/>
                <w:kern w:val="10"/>
                <w:sz w:val="18"/>
                <w:szCs w:val="18"/>
              </w:rPr>
              <w:t>综合部</w:t>
            </w:r>
          </w:p>
        </w:tc>
        <w:tc>
          <w:tcPr>
            <w:tcW w:w="2941" w:type="dxa"/>
            <w:shd w:val="clear" w:color="auto" w:fill="FBD4B4" w:themeFill="accent6" w:themeFillTint="66"/>
            <w:vAlign w:val="top"/>
          </w:tcPr>
          <w:p>
            <w:pPr>
              <w:spacing w:after="4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岗位职责/权限、文件和记录管理、</w:t>
            </w:r>
            <w:r>
              <w:rPr>
                <w:rFonts w:hint="eastAsia" w:ascii="宋体" w:hAnsi="宋体"/>
                <w:sz w:val="18"/>
                <w:szCs w:val="18"/>
              </w:rPr>
              <w:t>目标管理、内外部沟通、</w:t>
            </w:r>
            <w:r>
              <w:rPr>
                <w:rFonts w:hint="eastAsia" w:cs="Arial"/>
                <w:bCs/>
                <w:sz w:val="18"/>
                <w:szCs w:val="18"/>
              </w:rPr>
              <w:t>人员健康管理、持证上岗人员、人员招聘、员工培训及有效性评价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分析和评估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工作环境</w:t>
            </w:r>
          </w:p>
        </w:tc>
        <w:tc>
          <w:tcPr>
            <w:tcW w:w="2566" w:type="dxa"/>
            <w:shd w:val="clear" w:color="auto" w:fill="FBD4B4" w:themeFill="accent6" w:themeFillTint="66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FSMS</w:t>
            </w:r>
            <w:r>
              <w:rPr>
                <w:rFonts w:hint="eastAsia" w:cs="Arial"/>
                <w:bCs/>
                <w:sz w:val="18"/>
                <w:szCs w:val="18"/>
              </w:rPr>
              <w:t>：5.3/6.2/7.1.2/7.2/7.3/7.4/7.5/</w:t>
            </w:r>
            <w:r>
              <w:rPr>
                <w:rFonts w:cs="Arial"/>
                <w:bCs/>
                <w:sz w:val="18"/>
                <w:szCs w:val="18"/>
              </w:rPr>
              <w:t>9.</w:t>
            </w:r>
            <w:r>
              <w:rPr>
                <w:bCs/>
                <w:sz w:val="18"/>
                <w:szCs w:val="18"/>
              </w:rPr>
              <w:t xml:space="preserve">1.2/10.1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H:4.2.3/4.2.4/5.2/5.3/6.2/</w:t>
            </w:r>
            <w:r>
              <w:rPr>
                <w:rFonts w:hint="eastAsia"/>
                <w:bCs/>
                <w:sz w:val="18"/>
                <w:szCs w:val="18"/>
              </w:rPr>
              <w:t>7.9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GB14881:6.3/12/13/14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17:00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4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宋体" w:hAnsi="宋体" w:eastAsia="宋体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审核组整理资料和管代沟通</w:t>
            </w:r>
          </w:p>
        </w:tc>
        <w:tc>
          <w:tcPr>
            <w:tcW w:w="2566" w:type="dxa"/>
            <w:shd w:val="clear" w:color="auto" w:fill="auto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4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第一天审核结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束</w:t>
            </w:r>
          </w:p>
        </w:tc>
        <w:tc>
          <w:tcPr>
            <w:tcW w:w="2566" w:type="dxa"/>
            <w:shd w:val="clear" w:color="auto" w:fill="auto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2020-11-30上午</w:t>
            </w: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第三天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8:25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line="300" w:lineRule="exact"/>
              <w:rPr>
                <w:rFonts w:hint="eastAsia" w:eastAsia="宋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2566" w:type="dxa"/>
            <w:shd w:val="clear" w:color="auto" w:fill="auto"/>
          </w:tcPr>
          <w:p>
            <w:pPr>
              <w:spacing w:line="300" w:lineRule="exact"/>
              <w:rPr>
                <w:color w:val="0000FF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1370" w:type="dxa"/>
            <w:shd w:val="clear" w:color="auto" w:fill="FBD4B4" w:themeFill="accent6" w:themeFillTint="66"/>
            <w:vAlign w:val="top"/>
          </w:tcPr>
          <w:p>
            <w:pPr>
              <w:spacing w:after="40"/>
              <w:rPr>
                <w:rFonts w:hint="eastAsia" w:ascii="宋体" w:hAnsi="宋体" w:eastAsia="宋体" w:cs="Times New Roman"/>
                <w:b/>
                <w:bCs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pacing w:val="40"/>
                <w:kern w:val="10"/>
                <w:sz w:val="18"/>
                <w:szCs w:val="18"/>
              </w:rPr>
              <w:t>综合部</w:t>
            </w:r>
          </w:p>
        </w:tc>
        <w:tc>
          <w:tcPr>
            <w:tcW w:w="2941" w:type="dxa"/>
            <w:shd w:val="clear" w:color="auto" w:fill="FBD4B4" w:themeFill="accent6" w:themeFillTint="66"/>
            <w:vAlign w:val="top"/>
          </w:tcPr>
          <w:p>
            <w:pPr>
              <w:spacing w:after="40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岗位职责/权限、文件和记录管理、</w:t>
            </w:r>
            <w:r>
              <w:rPr>
                <w:rFonts w:hint="eastAsia" w:ascii="宋体" w:hAnsi="宋体"/>
                <w:sz w:val="18"/>
                <w:szCs w:val="18"/>
              </w:rPr>
              <w:t>目标管理、内外部沟通、</w:t>
            </w:r>
            <w:r>
              <w:rPr>
                <w:rFonts w:hint="eastAsia" w:cs="Arial"/>
                <w:bCs/>
                <w:sz w:val="18"/>
                <w:szCs w:val="18"/>
              </w:rPr>
              <w:t>人员健康管理、持证上岗人员、人员招聘、员工培训及有效性评价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分析和评估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工作环境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566" w:type="dxa"/>
            <w:shd w:val="clear" w:color="auto" w:fill="FBD4B4" w:themeFill="accent6" w:themeFillTint="66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FSMS</w:t>
            </w:r>
            <w:r>
              <w:rPr>
                <w:rFonts w:hint="eastAsia" w:cs="Arial"/>
                <w:bCs/>
                <w:sz w:val="18"/>
                <w:szCs w:val="18"/>
              </w:rPr>
              <w:t>：5.3/6.2/7.1.2/7.2/7.3/7.4/7.5/</w:t>
            </w:r>
            <w:r>
              <w:rPr>
                <w:rFonts w:cs="Arial"/>
                <w:bCs/>
                <w:sz w:val="18"/>
                <w:szCs w:val="18"/>
              </w:rPr>
              <w:t>9.</w:t>
            </w:r>
            <w:r>
              <w:rPr>
                <w:bCs/>
                <w:sz w:val="18"/>
                <w:szCs w:val="18"/>
              </w:rPr>
              <w:t xml:space="preserve">1.2/10.1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H:4.2.3/4.2.4/5.2/5.3/6.2/</w:t>
            </w:r>
            <w:r>
              <w:rPr>
                <w:rFonts w:hint="eastAsia"/>
                <w:bCs/>
                <w:sz w:val="18"/>
                <w:szCs w:val="18"/>
              </w:rPr>
              <w:t>7.9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GB14881:6.3/12/13/14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shd w:val="clear" w:color="auto" w:fill="D6E3BC" w:themeFill="accent3" w:themeFillTint="66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08: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70" w:type="dxa"/>
            <w:shd w:val="clear" w:color="auto" w:fill="D6E3BC" w:themeFill="accent3" w:themeFillTint="66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餐饮服务</w:t>
            </w:r>
            <w:r>
              <w:rPr>
                <w:rFonts w:hint="eastAsia"/>
                <w:b/>
                <w:bCs/>
                <w:sz w:val="18"/>
                <w:szCs w:val="18"/>
              </w:rPr>
              <w:t>部(含质检）及现场</w:t>
            </w:r>
          </w:p>
        </w:tc>
        <w:tc>
          <w:tcPr>
            <w:tcW w:w="2941" w:type="dxa"/>
            <w:shd w:val="clear" w:color="auto" w:fill="D6E3BC" w:themeFill="accent3" w:themeFillTint="66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Arial"/>
                <w:b w:val="0"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基础设施、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u w:val="none"/>
              </w:rPr>
              <w:t>工作环境</w:t>
            </w:r>
            <w:r>
              <w:rPr>
                <w:rFonts w:hint="eastAsia"/>
                <w:b w:val="0"/>
                <w:bCs/>
                <w:sz w:val="18"/>
                <w:szCs w:val="18"/>
                <w:u w:val="none"/>
              </w:rPr>
              <w:t>控制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、关键控制点的监视系统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及纠偏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、可追溯性系统、潜在不符合品控制、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GMP,SSOP的现场情况、原材料和包装材料保障计划的现场情况、产品防护计划、维护和保障计划和控制、食品欺诈和过敏原控制、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过程和产品的监视和测量、撤回/召回、应急准备和响应、食品添加剂管理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继续审核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66" w:type="dxa"/>
            <w:shd w:val="clear" w:color="auto" w:fill="D6E3BC" w:themeFill="accent3" w:themeFillTint="66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</w:p>
          <w:p>
            <w:pPr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5.3/6.2/7.1.3/7.1.4/8.1/8.2/8.3/8.4/8.5/8.6/8.7/8.9.1-8.9.4/9.1.1/10.1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H:6.3/6.4/6.5/6.6/6.7/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7.4/7.5/</w:t>
            </w:r>
            <w:r>
              <w:rPr>
                <w:sz w:val="18"/>
                <w:szCs w:val="18"/>
              </w:rPr>
              <w:t>7.6/7.7/7.8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GB14881: 3/4/5/6/7/8/9/10/11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D6E3BC" w:themeFill="accent3" w:themeFillTint="66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11:00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4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审核组整理资料和管代沟通</w:t>
            </w:r>
          </w:p>
        </w:tc>
        <w:tc>
          <w:tcPr>
            <w:tcW w:w="256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与</w:t>
            </w:r>
            <w:r>
              <w:rPr>
                <w:rFonts w:hint="eastAsia"/>
                <w:sz w:val="18"/>
                <w:szCs w:val="18"/>
              </w:rPr>
              <w:t>管理者代表</w:t>
            </w:r>
            <w:r>
              <w:rPr>
                <w:sz w:val="18"/>
                <w:szCs w:val="18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2:00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4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末次会议</w:t>
            </w:r>
          </w:p>
        </w:tc>
        <w:tc>
          <w:tcPr>
            <w:tcW w:w="256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3</w:t>
            </w:r>
            <w:bookmarkStart w:id="5" w:name="_GoBack"/>
            <w:bookmarkEnd w:id="5"/>
            <w:r>
              <w:rPr>
                <w:rFonts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4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审核结束</w:t>
            </w:r>
          </w:p>
        </w:tc>
        <w:tc>
          <w:tcPr>
            <w:tcW w:w="256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/>
    <w:p/>
    <w:p/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9"/>
        <w:numPr>
          <w:ilvl w:val="0"/>
          <w:numId w:val="3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60.75pt;margin-top:9.9pt;height:20.2pt;width:159.25pt;z-index:251658240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fdNCNcAAAAK&#10;AQAADwAAAAAAAAABACAAAAAiAAAAZHJzL2Rvd25yZXYueG1sUEsBAhQAFAAAAAgAh07iQE4d/3k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DE2FA"/>
    <w:multiLevelType w:val="singleLevel"/>
    <w:tmpl w:val="9F9DE2FA"/>
    <w:lvl w:ilvl="0" w:tentative="0">
      <w:start w:val="2020"/>
      <w:numFmt w:val="decimal"/>
      <w:suff w:val="nothing"/>
      <w:lvlText w:val="%1-"/>
      <w:lvlJc w:val="left"/>
    </w:lvl>
  </w:abstractNum>
  <w:abstractNum w:abstractNumId="1">
    <w:nsid w:val="A6ADE1C6"/>
    <w:multiLevelType w:val="singleLevel"/>
    <w:tmpl w:val="A6ADE1C6"/>
    <w:lvl w:ilvl="0" w:tentative="0">
      <w:start w:val="2018"/>
      <w:numFmt w:val="decimal"/>
      <w:suff w:val="nothing"/>
      <w:lvlText w:val="%1-"/>
      <w:lvlJc w:val="left"/>
    </w:lvl>
  </w:abstractNum>
  <w:abstractNum w:abstractNumId="2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14"/>
    <w:rsid w:val="00050845"/>
    <w:rsid w:val="000B07D5"/>
    <w:rsid w:val="000D1C98"/>
    <w:rsid w:val="000E5971"/>
    <w:rsid w:val="000E5DCA"/>
    <w:rsid w:val="000F68A1"/>
    <w:rsid w:val="001219F1"/>
    <w:rsid w:val="00165B2B"/>
    <w:rsid w:val="00170689"/>
    <w:rsid w:val="001716DD"/>
    <w:rsid w:val="001A2019"/>
    <w:rsid w:val="001C5735"/>
    <w:rsid w:val="00281ECA"/>
    <w:rsid w:val="0028283F"/>
    <w:rsid w:val="002954F1"/>
    <w:rsid w:val="002D14AB"/>
    <w:rsid w:val="002F6BD0"/>
    <w:rsid w:val="00317A7E"/>
    <w:rsid w:val="0033343B"/>
    <w:rsid w:val="003D607F"/>
    <w:rsid w:val="00436226"/>
    <w:rsid w:val="004A6914"/>
    <w:rsid w:val="004D3FC3"/>
    <w:rsid w:val="00582891"/>
    <w:rsid w:val="005E2648"/>
    <w:rsid w:val="006350EC"/>
    <w:rsid w:val="00660977"/>
    <w:rsid w:val="00661C98"/>
    <w:rsid w:val="00670846"/>
    <w:rsid w:val="006D2E3F"/>
    <w:rsid w:val="0070529F"/>
    <w:rsid w:val="007A45A9"/>
    <w:rsid w:val="007B4BA8"/>
    <w:rsid w:val="007B6B31"/>
    <w:rsid w:val="007C28E1"/>
    <w:rsid w:val="007C6AB3"/>
    <w:rsid w:val="007E793A"/>
    <w:rsid w:val="0080289A"/>
    <w:rsid w:val="00852288"/>
    <w:rsid w:val="008E21D0"/>
    <w:rsid w:val="009540DA"/>
    <w:rsid w:val="00A17A85"/>
    <w:rsid w:val="00A863E3"/>
    <w:rsid w:val="00AB532B"/>
    <w:rsid w:val="00B21E90"/>
    <w:rsid w:val="00B23C46"/>
    <w:rsid w:val="00B34CE5"/>
    <w:rsid w:val="00B46A96"/>
    <w:rsid w:val="00B56B9A"/>
    <w:rsid w:val="00B721B5"/>
    <w:rsid w:val="00B90F60"/>
    <w:rsid w:val="00BA47B5"/>
    <w:rsid w:val="00BD2FB5"/>
    <w:rsid w:val="00BF1218"/>
    <w:rsid w:val="00BF71BD"/>
    <w:rsid w:val="00CD328E"/>
    <w:rsid w:val="00CE1A6A"/>
    <w:rsid w:val="00D57145"/>
    <w:rsid w:val="00D57D7F"/>
    <w:rsid w:val="00D76D03"/>
    <w:rsid w:val="00D7716E"/>
    <w:rsid w:val="00DA5212"/>
    <w:rsid w:val="00E12772"/>
    <w:rsid w:val="00E24592"/>
    <w:rsid w:val="00E52778"/>
    <w:rsid w:val="00E93A34"/>
    <w:rsid w:val="00F108C3"/>
    <w:rsid w:val="00F37696"/>
    <w:rsid w:val="02DA7492"/>
    <w:rsid w:val="02DD77D8"/>
    <w:rsid w:val="03EB74A6"/>
    <w:rsid w:val="070438F7"/>
    <w:rsid w:val="07053789"/>
    <w:rsid w:val="07284C48"/>
    <w:rsid w:val="08907D07"/>
    <w:rsid w:val="0B5F1D96"/>
    <w:rsid w:val="0C494494"/>
    <w:rsid w:val="0CBC0F01"/>
    <w:rsid w:val="0D1B538B"/>
    <w:rsid w:val="0DF23D81"/>
    <w:rsid w:val="0F00536C"/>
    <w:rsid w:val="0F68624C"/>
    <w:rsid w:val="0F8F1461"/>
    <w:rsid w:val="10166593"/>
    <w:rsid w:val="11687C65"/>
    <w:rsid w:val="132A6E69"/>
    <w:rsid w:val="13DA13B1"/>
    <w:rsid w:val="14F5070A"/>
    <w:rsid w:val="15510D14"/>
    <w:rsid w:val="161C5E37"/>
    <w:rsid w:val="16226157"/>
    <w:rsid w:val="16DB0771"/>
    <w:rsid w:val="18D61FB9"/>
    <w:rsid w:val="1A997AAB"/>
    <w:rsid w:val="1B194CAF"/>
    <w:rsid w:val="1B3C7513"/>
    <w:rsid w:val="1C33500A"/>
    <w:rsid w:val="1CD92AC2"/>
    <w:rsid w:val="1D2F3A02"/>
    <w:rsid w:val="1EC72E72"/>
    <w:rsid w:val="1F121B4A"/>
    <w:rsid w:val="1F8609F1"/>
    <w:rsid w:val="1FF13C07"/>
    <w:rsid w:val="22D81847"/>
    <w:rsid w:val="23577455"/>
    <w:rsid w:val="23B6256F"/>
    <w:rsid w:val="25CB3872"/>
    <w:rsid w:val="26C4050A"/>
    <w:rsid w:val="26C4166B"/>
    <w:rsid w:val="2714635E"/>
    <w:rsid w:val="2990145D"/>
    <w:rsid w:val="29C00430"/>
    <w:rsid w:val="2ABF30B8"/>
    <w:rsid w:val="2AD14E95"/>
    <w:rsid w:val="2B4677A3"/>
    <w:rsid w:val="2C94306A"/>
    <w:rsid w:val="2CBE347D"/>
    <w:rsid w:val="2D1F419B"/>
    <w:rsid w:val="2DD97D5C"/>
    <w:rsid w:val="2E592AF0"/>
    <w:rsid w:val="2EB520A4"/>
    <w:rsid w:val="2F2A05D3"/>
    <w:rsid w:val="303201A0"/>
    <w:rsid w:val="307907D3"/>
    <w:rsid w:val="30A360C5"/>
    <w:rsid w:val="31D20763"/>
    <w:rsid w:val="32EA227A"/>
    <w:rsid w:val="33C0725F"/>
    <w:rsid w:val="34213E39"/>
    <w:rsid w:val="349B306C"/>
    <w:rsid w:val="35EE609E"/>
    <w:rsid w:val="36C1065E"/>
    <w:rsid w:val="39713F5D"/>
    <w:rsid w:val="398B00C0"/>
    <w:rsid w:val="3B9B4D0D"/>
    <w:rsid w:val="3BDA6E55"/>
    <w:rsid w:val="3C2E756D"/>
    <w:rsid w:val="3C62678B"/>
    <w:rsid w:val="3EC75698"/>
    <w:rsid w:val="3ECD7FF5"/>
    <w:rsid w:val="405C2D90"/>
    <w:rsid w:val="413A47AA"/>
    <w:rsid w:val="41B063B6"/>
    <w:rsid w:val="42731DB6"/>
    <w:rsid w:val="44586056"/>
    <w:rsid w:val="466D532B"/>
    <w:rsid w:val="46911F57"/>
    <w:rsid w:val="46D97F7E"/>
    <w:rsid w:val="47BF59B0"/>
    <w:rsid w:val="488945D7"/>
    <w:rsid w:val="48D00D0E"/>
    <w:rsid w:val="4B2B37A0"/>
    <w:rsid w:val="4EA76D11"/>
    <w:rsid w:val="4FA56B6C"/>
    <w:rsid w:val="50097C3C"/>
    <w:rsid w:val="507245FB"/>
    <w:rsid w:val="50EE497B"/>
    <w:rsid w:val="511F7F1B"/>
    <w:rsid w:val="533F371C"/>
    <w:rsid w:val="55483CFB"/>
    <w:rsid w:val="563F79B8"/>
    <w:rsid w:val="576806CD"/>
    <w:rsid w:val="58952A6E"/>
    <w:rsid w:val="5D7D1DEE"/>
    <w:rsid w:val="5E256FA4"/>
    <w:rsid w:val="5FA03C20"/>
    <w:rsid w:val="60AC241B"/>
    <w:rsid w:val="60C16BE5"/>
    <w:rsid w:val="612D08BA"/>
    <w:rsid w:val="61C67F33"/>
    <w:rsid w:val="623F48FF"/>
    <w:rsid w:val="63070D50"/>
    <w:rsid w:val="63AC6237"/>
    <w:rsid w:val="65313339"/>
    <w:rsid w:val="67722849"/>
    <w:rsid w:val="69052847"/>
    <w:rsid w:val="6BB8230C"/>
    <w:rsid w:val="6CF22D13"/>
    <w:rsid w:val="6F67243D"/>
    <w:rsid w:val="713D72F2"/>
    <w:rsid w:val="72D67AC0"/>
    <w:rsid w:val="73FC719A"/>
    <w:rsid w:val="75347A77"/>
    <w:rsid w:val="75474562"/>
    <w:rsid w:val="756D3EAC"/>
    <w:rsid w:val="770F23CB"/>
    <w:rsid w:val="77137A5B"/>
    <w:rsid w:val="77D66267"/>
    <w:rsid w:val="791078FF"/>
    <w:rsid w:val="7967532C"/>
    <w:rsid w:val="79697F4F"/>
    <w:rsid w:val="7B4E74C1"/>
    <w:rsid w:val="7C0D0678"/>
    <w:rsid w:val="7D847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574</Words>
  <Characters>3277</Characters>
  <Lines>27</Lines>
  <Paragraphs>7</Paragraphs>
  <TotalTime>2</TotalTime>
  <ScaleCrop>false</ScaleCrop>
  <LinksUpToDate>false</LinksUpToDate>
  <CharactersWithSpaces>3844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2020-10-18T07:15:00Z</dcterms:created>
  <dc:creator>微软用户</dc:creator>
  <cp:lastModifiedBy>肖新龙</cp:lastModifiedBy>
  <dcterms:modified xsi:type="dcterms:W3CDTF">2020-12-10T13:07:03Z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