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受审核部门：领</w:t>
            </w:r>
            <w:r>
              <w:rPr>
                <w:color w:val="000000"/>
                <w:sz w:val="24"/>
                <w:szCs w:val="24"/>
              </w:rPr>
              <w:t>导</w:t>
            </w:r>
            <w:r>
              <w:rPr>
                <w:rFonts w:hint="eastAsia"/>
                <w:color w:val="000000"/>
                <w:sz w:val="24"/>
                <w:szCs w:val="24"/>
              </w:rPr>
              <w:t>层/食品</w:t>
            </w:r>
            <w:r>
              <w:rPr>
                <w:color w:val="000000"/>
                <w:sz w:val="24"/>
                <w:szCs w:val="24"/>
              </w:rPr>
              <w:t>安全小组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HACCP</w:t>
            </w:r>
            <w:r>
              <w:rPr>
                <w:rFonts w:hint="eastAsia"/>
                <w:color w:val="000000"/>
                <w:sz w:val="24"/>
                <w:szCs w:val="24"/>
              </w:rPr>
              <w:t>小组   主管领导：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宋文豪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张西然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肖新龙、张静、陈丽丹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</w:t>
            </w:r>
          </w:p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审核时间：20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20.11.27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shd w:val="pct10" w:color="auto" w:fill="FFFFFF"/>
              </w:rPr>
              <w:t>FSMS</w:t>
            </w:r>
            <w:r>
              <w:rPr>
                <w:color w:val="000000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21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pStyle w:val="13"/>
              <w:ind w:firstLine="0" w:firstLineChars="0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-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观察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生产或服务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区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域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是否选择了无食品有显著污染的区域，周围环境无虫害大量滋生、废弃物以及粉尘、有害气体、放射性物质和其他扩散性污染源不能有效清除的地址， </w:t>
            </w:r>
          </w:p>
          <w:p>
            <w:pPr>
              <w:pStyle w:val="13"/>
              <w:ind w:firstLine="0" w:firstLineChars="0"/>
              <w:rPr>
                <w:color w:val="000000"/>
                <w:sz w:val="21"/>
                <w:szCs w:val="21"/>
                <w:highlight w:val="yellow"/>
                <w:u w:val="singl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符合食品安全和卫生要求   </w:t>
            </w:r>
            <w:r>
              <w:rPr>
                <w:color w:val="000000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不符合要求，说明：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       </w:t>
            </w:r>
          </w:p>
          <w:p>
            <w:pPr>
              <w:pStyle w:val="13"/>
              <w:ind w:firstLine="0" w:firstLineChars="0"/>
              <w:rPr>
                <w:color w:val="000000"/>
                <w:sz w:val="21"/>
                <w:szCs w:val="21"/>
                <w:highlight w:val="yellow"/>
              </w:rPr>
            </w:pPr>
          </w:p>
          <w:p>
            <w:pPr>
              <w:pStyle w:val="13"/>
              <w:ind w:firstLine="0" w:firstLineChars="0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- 观察厂区内</w:t>
            </w:r>
            <w:r>
              <w:rPr>
                <w:color w:val="000000"/>
                <w:sz w:val="21"/>
                <w:szCs w:val="21"/>
                <w:highlight w:val="none"/>
              </w:rPr>
              <w:t>合理布局，生活区应与生产区域划分明显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有</w:t>
            </w:r>
            <w:r>
              <w:rPr>
                <w:color w:val="000000"/>
                <w:sz w:val="21"/>
                <w:szCs w:val="21"/>
                <w:highlight w:val="none"/>
              </w:rPr>
              <w:t>分离或分隔措施，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绿化距离合理、地面硬化、</w:t>
            </w:r>
            <w:r>
              <w:rPr>
                <w:color w:val="000000"/>
                <w:sz w:val="21"/>
                <w:szCs w:val="21"/>
                <w:highlight w:val="none"/>
              </w:rPr>
              <w:t>环境清洁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、无</w:t>
            </w:r>
            <w:r>
              <w:rPr>
                <w:color w:val="000000"/>
                <w:sz w:val="21"/>
                <w:szCs w:val="21"/>
                <w:highlight w:val="none"/>
              </w:rPr>
              <w:t>扬尘和积水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、无</w:t>
            </w:r>
            <w:r>
              <w:rPr>
                <w:color w:val="000000"/>
                <w:sz w:val="21"/>
                <w:szCs w:val="21"/>
                <w:highlight w:val="none"/>
              </w:rPr>
              <w:t>虫害的孳生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、</w:t>
            </w:r>
            <w:r>
              <w:rPr>
                <w:color w:val="000000"/>
                <w:sz w:val="21"/>
                <w:szCs w:val="21"/>
                <w:highlight w:val="none"/>
              </w:rPr>
              <w:t>适当的排水系统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：  </w:t>
            </w:r>
          </w:p>
          <w:p>
            <w:pPr>
              <w:pStyle w:val="13"/>
              <w:ind w:firstLine="0" w:firstLineChars="0"/>
              <w:rPr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符合食品安全和卫生要求   </w:t>
            </w:r>
            <w:r>
              <w:rPr>
                <w:color w:val="000000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不符合要求，说明：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生产或服务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区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域</w:t>
            </w:r>
            <w:r>
              <w:rPr>
                <w:rFonts w:hint="eastAsia"/>
                <w:color w:val="000000"/>
                <w:szCs w:val="21"/>
                <w:highlight w:val="none"/>
              </w:rPr>
              <w:t>房内</w:t>
            </w:r>
            <w:r>
              <w:rPr>
                <w:color w:val="000000"/>
                <w:szCs w:val="21"/>
                <w:highlight w:val="none"/>
              </w:rPr>
              <w:t>部设计</w:t>
            </w:r>
            <w:r>
              <w:rPr>
                <w:rFonts w:hint="eastAsia"/>
                <w:color w:val="000000"/>
                <w:szCs w:val="21"/>
                <w:highlight w:val="none"/>
              </w:rPr>
              <w:t>和</w:t>
            </w:r>
            <w:r>
              <w:rPr>
                <w:color w:val="000000"/>
                <w:szCs w:val="21"/>
                <w:highlight w:val="none"/>
              </w:rPr>
              <w:t>布局合理，避免食品生产中发生交叉污染。满足食品卫生操作要求</w:t>
            </w:r>
            <w:r>
              <w:rPr>
                <w:rFonts w:hint="eastAsia"/>
                <w:color w:val="000000"/>
                <w:szCs w:val="21"/>
                <w:highlight w:val="none"/>
              </w:rPr>
              <w:t>；</w:t>
            </w:r>
            <w:r>
              <w:rPr>
                <w:color w:val="000000"/>
                <w:szCs w:val="21"/>
                <w:highlight w:val="none"/>
              </w:rPr>
              <w:t>对清洁程度的要求合理划分作业区，</w:t>
            </w:r>
            <w:r>
              <w:rPr>
                <w:rFonts w:hint="eastAsia"/>
                <w:color w:val="000000"/>
                <w:szCs w:val="21"/>
                <w:highlight w:val="none"/>
              </w:rPr>
              <w:t>（</w:t>
            </w:r>
            <w:r>
              <w:rPr>
                <w:color w:val="000000"/>
                <w:szCs w:val="21"/>
                <w:highlight w:val="none"/>
              </w:rPr>
              <w:t>清洁作业区、准清洁作业区和一般作业区</w:t>
            </w:r>
            <w:r>
              <w:rPr>
                <w:rFonts w:hint="eastAsia"/>
                <w:color w:val="000000"/>
                <w:szCs w:val="21"/>
                <w:highlight w:val="none"/>
              </w:rPr>
              <w:t>）</w:t>
            </w:r>
            <w:r>
              <w:rPr>
                <w:color w:val="000000"/>
                <w:szCs w:val="21"/>
                <w:highlight w:val="none"/>
              </w:rPr>
              <w:t>并采取有效分离或分隔。厂房的面积和空间应与生产能力相适应，便于设备安置、清洁消毒、物料存储及人员操作。</w:t>
            </w:r>
          </w:p>
          <w:p>
            <w:pPr>
              <w:pStyle w:val="13"/>
              <w:ind w:firstLine="0" w:firstLineChars="0"/>
              <w:rPr>
                <w:color w:val="000000"/>
                <w:sz w:val="21"/>
                <w:szCs w:val="21"/>
                <w:highlight w:val="none"/>
                <w:u w:val="singl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符合食品安全和卫生要求   </w:t>
            </w:r>
            <w:r>
              <w:rPr>
                <w:color w:val="000000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不符合要求，说明：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 观察厂房内</w:t>
            </w:r>
            <w:r>
              <w:rPr>
                <w:color w:val="000000"/>
                <w:szCs w:val="21"/>
              </w:rPr>
              <w:t>部结构易于维护、清洁或消毒与采用适当的耐用材料建造，避免食品生产中发生交叉污染。</w:t>
            </w:r>
            <w:r>
              <w:rPr>
                <w:rFonts w:hint="eastAsia"/>
                <w:color w:val="000000"/>
                <w:szCs w:val="21"/>
              </w:rPr>
              <w:t>包括</w:t>
            </w:r>
            <w:r>
              <w:rPr>
                <w:color w:val="000000"/>
                <w:szCs w:val="21"/>
              </w:rPr>
              <w:t>顶棚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墙壁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门窗</w:t>
            </w:r>
            <w:r>
              <w:rPr>
                <w:rFonts w:hint="eastAsia"/>
                <w:color w:val="000000"/>
                <w:szCs w:val="21"/>
              </w:rPr>
              <w:t>（纱窗）、地面等</w:t>
            </w:r>
          </w:p>
          <w:p>
            <w:pPr>
              <w:pStyle w:val="13"/>
              <w:ind w:firstLine="0" w:firstLineChars="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符合食品安全和卫生要求   </w:t>
            </w:r>
            <w:r>
              <w:rPr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不符合要求，说明：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 观察生产用水的来源：</w:t>
            </w:r>
          </w:p>
          <w:p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城市用水  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 xml:space="preserve">地下水（井水） 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地表水（江/河/湖/海）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181" w:firstLineChars="100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水检测报告编号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>：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  <w:lang w:val="en-US" w:eastAsia="zh-CN"/>
              </w:rPr>
              <w:t>WT20200828009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，报告日期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>：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2020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>-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  <w:lang w:val="en-US" w:eastAsia="zh-CN"/>
              </w:rPr>
              <w:t>09-08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，检验依据：GB5749-2006，结论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>：符合要求。</w:t>
            </w:r>
          </w:p>
          <w:p>
            <w:pPr>
              <w:ind w:firstLine="210" w:firstLineChars="100"/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 观察生产用水（与食品接触）的种类：</w:t>
            </w:r>
          </w:p>
          <w:p>
            <w:pPr>
              <w:ind w:firstLine="210" w:firstLineChars="100"/>
              <w:rPr>
                <w:color w:val="000000"/>
                <w:szCs w:val="21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水源水  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 xml:space="preserve">纯净水  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 xml:space="preserve">热水 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 xml:space="preserve">蒸汽  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 xml:space="preserve">冰  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其他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highlight w:val="none"/>
              </w:rPr>
              <w:t xml:space="preserve"> 观察排水设施的状况：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szCs w:val="21"/>
                <w:highlight w:val="none"/>
              </w:rPr>
              <w:t xml:space="preserve">明排水沟   </w:t>
            </w:r>
            <w:r>
              <w:rPr>
                <w:rFonts w:hint="eastAsia" w:ascii="Segoe UI Symbol" w:hAnsi="Segoe UI Symbol" w:cs="Segoe UI Symbol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 xml:space="preserve">有水封地漏    </w:t>
            </w:r>
            <w:r>
              <w:rPr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szCs w:val="21"/>
                <w:highlight w:val="none"/>
              </w:rPr>
              <w:t xml:space="preserve">其他： 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B05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- 观察</w:t>
            </w:r>
            <w:r>
              <w:rPr>
                <w:color w:val="auto"/>
                <w:szCs w:val="21"/>
              </w:rPr>
              <w:t>清洁消毒</w:t>
            </w:r>
            <w:r>
              <w:rPr>
                <w:rFonts w:hint="eastAsia"/>
                <w:color w:val="auto"/>
                <w:szCs w:val="21"/>
              </w:rPr>
              <w:t>设施的对象：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color w:val="auto"/>
                <w:szCs w:val="21"/>
              </w:rPr>
              <w:t xml:space="preserve">原料   </w:t>
            </w:r>
            <w:r>
              <w:rPr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color w:val="auto"/>
                <w:szCs w:val="21"/>
              </w:rPr>
              <w:t xml:space="preserve">包材  </w:t>
            </w:r>
            <w:r>
              <w:rPr>
                <w:rFonts w:ascii="Segoe UI Symbol" w:hAnsi="Segoe UI Symbol" w:cs="Segoe UI Symbol"/>
                <w:color w:val="auto"/>
                <w:szCs w:val="21"/>
              </w:rPr>
              <w:t>☑</w:t>
            </w:r>
            <w:r>
              <w:rPr>
                <w:rFonts w:hint="eastAsia"/>
                <w:color w:val="auto"/>
                <w:szCs w:val="21"/>
              </w:rPr>
              <w:t xml:space="preserve">工器具   </w:t>
            </w:r>
            <w:r>
              <w:rPr>
                <w:rFonts w:ascii="Segoe UI Symbol" w:hAnsi="Segoe UI Symbol" w:cs="Segoe UI Symbol"/>
                <w:color w:val="auto"/>
                <w:szCs w:val="21"/>
              </w:rPr>
              <w:t>☑</w:t>
            </w:r>
            <w:r>
              <w:rPr>
                <w:rFonts w:hint="eastAsia"/>
                <w:color w:val="auto"/>
                <w:szCs w:val="21"/>
              </w:rPr>
              <w:t xml:space="preserve">容器（罐/箱）  </w:t>
            </w:r>
            <w:r>
              <w:rPr>
                <w:color w:val="auto"/>
                <w:szCs w:val="21"/>
              </w:rPr>
              <w:sym w:font="Wingdings" w:char="00FE"/>
            </w:r>
            <w:r>
              <w:rPr>
                <w:rFonts w:hint="eastAsia"/>
                <w:color w:val="auto"/>
                <w:szCs w:val="21"/>
              </w:rPr>
              <w:t xml:space="preserve">其他：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>餐具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                    </w:t>
            </w:r>
          </w:p>
          <w:p>
            <w:pPr>
              <w:rPr>
                <w:color w:val="auto"/>
                <w:szCs w:val="21"/>
                <w:shd w:val="clear" w:color="FFFFFF" w:fill="D9D9D9"/>
              </w:rPr>
            </w:pP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</w:rPr>
              <w:t xml:space="preserve">- </w:t>
            </w:r>
            <w:r>
              <w:rPr>
                <w:rFonts w:hint="eastAsia"/>
                <w:color w:val="auto"/>
                <w:szCs w:val="21"/>
                <w:highlight w:val="none"/>
              </w:rPr>
              <w:t>观察</w:t>
            </w:r>
            <w:r>
              <w:rPr>
                <w:color w:val="auto"/>
                <w:szCs w:val="21"/>
                <w:highlight w:val="none"/>
              </w:rPr>
              <w:t>清洁消毒</w:t>
            </w:r>
            <w:r>
              <w:rPr>
                <w:rFonts w:hint="eastAsia"/>
                <w:color w:val="auto"/>
                <w:szCs w:val="21"/>
                <w:highlight w:val="none"/>
              </w:rPr>
              <w:t>的方式：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ascii="Segoe UI Symbol" w:hAnsi="Segoe UI Symbol" w:cs="Segoe UI Symbol"/>
                <w:color w:val="auto"/>
                <w:szCs w:val="21"/>
                <w:highlight w:val="none"/>
              </w:rPr>
              <w:t>☑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水洗   </w:t>
            </w:r>
            <w:r>
              <w:rPr>
                <w:rFonts w:ascii="Segoe UI Symbol" w:hAnsi="Segoe UI Symbol" w:cs="Segoe UI Symbol"/>
                <w:color w:val="auto"/>
                <w:szCs w:val="21"/>
                <w:highlight w:val="none"/>
              </w:rPr>
              <w:t>☑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清洗（表面活性剂）    </w:t>
            </w:r>
            <w:r>
              <w:rPr>
                <w:rFonts w:ascii="Segoe UI Symbol" w:hAnsi="Segoe UI Symbol" w:cs="Segoe UI Symbol"/>
                <w:color w:val="auto"/>
                <w:szCs w:val="21"/>
                <w:highlight w:val="none"/>
              </w:rPr>
              <w:t>☑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消毒  </w:t>
            </w:r>
            <w:r>
              <w:rPr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CIP   </w:t>
            </w:r>
            <w:r>
              <w:rPr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COP    </w:t>
            </w:r>
            <w:r>
              <w:rPr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其他：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</w:t>
            </w:r>
          </w:p>
          <w:p>
            <w:pPr>
              <w:rPr>
                <w:color w:val="auto"/>
                <w:szCs w:val="21"/>
                <w:shd w:val="clear" w:color="FFFFFF" w:fill="D9D9D9"/>
              </w:rPr>
            </w:pP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color w:val="00B050"/>
                <w:szCs w:val="21"/>
              </w:rPr>
              <w:t>-</w:t>
            </w:r>
            <w:r>
              <w:rPr>
                <w:rFonts w:hint="eastAsia"/>
                <w:szCs w:val="21"/>
                <w:highlight w:val="none"/>
              </w:rPr>
              <w:t xml:space="preserve"> 观察</w:t>
            </w:r>
            <w:r>
              <w:rPr>
                <w:szCs w:val="21"/>
                <w:highlight w:val="none"/>
              </w:rPr>
              <w:t>废弃物存放设施</w:t>
            </w:r>
            <w:r>
              <w:rPr>
                <w:rFonts w:hint="eastAsia"/>
                <w:szCs w:val="21"/>
                <w:highlight w:val="none"/>
              </w:rPr>
              <w:t>：</w:t>
            </w:r>
          </w:p>
          <w:p>
            <w:pPr>
              <w:rPr>
                <w:color w:val="FF0000"/>
                <w:szCs w:val="21"/>
                <w:highlight w:val="yellow"/>
              </w:rPr>
            </w:pPr>
            <w:r>
              <w:rPr>
                <w:rFonts w:ascii="Segoe UI Symbol" w:hAnsi="Segoe UI Symbol" w:cs="Segoe UI Symbol"/>
                <w:szCs w:val="21"/>
                <w:highlight w:val="none"/>
              </w:rPr>
              <w:t>☑</w:t>
            </w:r>
            <w:r>
              <w:rPr>
                <w:rFonts w:hint="eastAsia"/>
                <w:szCs w:val="21"/>
                <w:highlight w:val="none"/>
              </w:rPr>
              <w:t xml:space="preserve">带盖垃圾桶   </w:t>
            </w:r>
            <w:r>
              <w:rPr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szCs w:val="21"/>
                <w:highlight w:val="none"/>
              </w:rPr>
              <w:t xml:space="preserve">不带盖垃圾桶   </w:t>
            </w:r>
            <w:r>
              <w:rPr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szCs w:val="21"/>
                <w:highlight w:val="none"/>
              </w:rPr>
              <w:t>其他：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                   </w:t>
            </w:r>
            <w:r>
              <w:rPr>
                <w:rFonts w:hint="eastAsia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color w:val="00B050"/>
                <w:szCs w:val="21"/>
                <w:highlight w:val="none"/>
              </w:rPr>
              <w:t xml:space="preserve">     </w:t>
            </w:r>
            <w:r>
              <w:rPr>
                <w:rFonts w:hint="eastAsia"/>
                <w:color w:val="FF0000"/>
                <w:szCs w:val="21"/>
                <w:highlight w:val="none"/>
              </w:rPr>
              <w:t xml:space="preserve">                     </w:t>
            </w:r>
            <w:r>
              <w:rPr>
                <w:rFonts w:hint="eastAsia"/>
                <w:color w:val="FF0000"/>
                <w:szCs w:val="21"/>
                <w:highlight w:val="yellow"/>
              </w:rPr>
              <w:t xml:space="preserve"> </w:t>
            </w:r>
          </w:p>
          <w:p>
            <w:pPr>
              <w:rPr>
                <w:color w:val="FF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</w:t>
            </w:r>
            <w:r>
              <w:rPr>
                <w:color w:val="000000"/>
                <w:szCs w:val="21"/>
                <w:highlight w:val="none"/>
              </w:rPr>
              <w:t>个人卫生设施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一次更衣室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二次更衣室 </w:t>
            </w: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洗手池   </w:t>
            </w:r>
            <w:r>
              <w:rPr>
                <w:rFonts w:hint="eastAsia" w:ascii="Segoe UI Symbol" w:hAnsi="Segoe UI Symbol" w:cs="Segoe UI Symbol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手动水龙头 </w:t>
            </w:r>
            <w:r>
              <w:rPr>
                <w:rFonts w:hint="eastAsia" w:ascii="Segoe UI Symbol" w:hAnsi="Segoe UI Symbol" w:cs="Segoe UI Symbol"/>
                <w:color w:val="000000"/>
                <w:szCs w:val="21"/>
                <w:highlight w:val="none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非手动水龙头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干手器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手消毒池   </w:t>
            </w:r>
            <w:r>
              <w:rPr>
                <w:color w:val="000000"/>
                <w:szCs w:val="21"/>
                <w:highlight w:val="none"/>
              </w:rPr>
              <w:t xml:space="preserve">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鞋靴消毒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color w:val="000000"/>
                <w:szCs w:val="21"/>
                <w:highlight w:val="none"/>
              </w:rPr>
              <w:t>风淋室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color w:val="000000"/>
                <w:szCs w:val="21"/>
                <w:highlight w:val="none"/>
              </w:rPr>
              <w:t>淋浴室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其他：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观察工作服的清洗：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个人清洗 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集中清洗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紫外消毒     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</w:t>
            </w:r>
            <w:r>
              <w:rPr>
                <w:color w:val="000000"/>
                <w:szCs w:val="21"/>
                <w:highlight w:val="none"/>
              </w:rPr>
              <w:t>卫生</w:t>
            </w:r>
            <w:r>
              <w:rPr>
                <w:rFonts w:hint="eastAsia"/>
                <w:color w:val="000000"/>
                <w:szCs w:val="21"/>
                <w:highlight w:val="none"/>
              </w:rPr>
              <w:t>间</w:t>
            </w:r>
            <w:r>
              <w:rPr>
                <w:color w:val="000000"/>
                <w:szCs w:val="21"/>
                <w:highlight w:val="none"/>
              </w:rPr>
              <w:t>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位于车间内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门朝向车间   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位于车间外    </w:t>
            </w: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>位于食堂外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观察通风</w:t>
            </w:r>
            <w:r>
              <w:rPr>
                <w:color w:val="000000"/>
                <w:szCs w:val="21"/>
                <w:highlight w:val="none"/>
              </w:rPr>
              <w:t>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自然通风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人工通风      </w:t>
            </w: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>有防虫害措施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纱窗、门帘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无防虫害措施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观察照明</w:t>
            </w:r>
            <w:r>
              <w:rPr>
                <w:color w:val="000000"/>
                <w:szCs w:val="21"/>
                <w:highlight w:val="none"/>
              </w:rPr>
              <w:t>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自然采光   </w:t>
            </w: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人工照明   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带罩灯具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非带罩灯具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- </w:t>
            </w:r>
            <w:r>
              <w:rPr>
                <w:rFonts w:hint="eastAsia"/>
                <w:szCs w:val="21"/>
                <w:highlight w:val="none"/>
              </w:rPr>
              <w:t>观察仓储</w:t>
            </w:r>
            <w:r>
              <w:rPr>
                <w:szCs w:val="21"/>
                <w:highlight w:val="none"/>
              </w:rPr>
              <w:t>设施</w:t>
            </w:r>
            <w:r>
              <w:rPr>
                <w:rFonts w:hint="eastAsia"/>
                <w:szCs w:val="21"/>
                <w:highlight w:val="none"/>
              </w:rPr>
              <w:t>的分类：</w:t>
            </w:r>
          </w:p>
          <w:p>
            <w:pPr>
              <w:rPr>
                <w:szCs w:val="21"/>
                <w:highlight w:val="none"/>
                <w:shd w:val="clear" w:color="FFFFFF" w:fill="D9D9D9"/>
              </w:rPr>
            </w:pPr>
            <w:r>
              <w:rPr>
                <w:rFonts w:ascii="Segoe UI Symbol" w:hAnsi="Segoe UI Symbol" w:cs="Segoe UI Symbol"/>
                <w:szCs w:val="21"/>
                <w:highlight w:val="none"/>
              </w:rPr>
              <w:t>☑</w:t>
            </w:r>
            <w:r>
              <w:rPr>
                <w:rFonts w:hint="eastAsia"/>
                <w:szCs w:val="21"/>
                <w:highlight w:val="none"/>
              </w:rPr>
              <w:t xml:space="preserve">原料库  </w:t>
            </w:r>
            <w:r>
              <w:rPr>
                <w:rFonts w:hint="eastAsia" w:ascii="Segoe UI Symbol" w:hAnsi="Segoe UI Symbol" w:cs="Segoe UI Symbol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 xml:space="preserve">辅料库    </w:t>
            </w:r>
            <w:r>
              <w:rPr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szCs w:val="21"/>
                <w:highlight w:val="none"/>
              </w:rPr>
              <w:t xml:space="preserve">化学品库  </w:t>
            </w:r>
            <w:r>
              <w:rPr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szCs w:val="21"/>
                <w:highlight w:val="none"/>
              </w:rPr>
              <w:t xml:space="preserve">半成品库   </w:t>
            </w:r>
            <w:r>
              <w:rPr>
                <w:rFonts w:hint="eastAsia" w:ascii="Segoe UI Symbol" w:hAnsi="Segoe UI Symbol" w:cs="Segoe UI Symbol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 xml:space="preserve">产品库 </w:t>
            </w:r>
            <w:r>
              <w:rPr>
                <w:rFonts w:hint="eastAsia" w:ascii="Segoe UI Symbol" w:hAnsi="Segoe UI Symbol" w:cs="Segoe UI Symbol"/>
                <w:szCs w:val="21"/>
                <w:highlight w:val="none"/>
                <w:lang w:eastAsia="zh-CN"/>
              </w:rPr>
              <w:sym w:font="Wingdings 2" w:char="0052"/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辅料周转</w:t>
            </w:r>
            <w:r>
              <w:rPr>
                <w:rFonts w:hint="eastAsia"/>
                <w:szCs w:val="21"/>
                <w:highlight w:val="none"/>
              </w:rPr>
              <w:t>库</w:t>
            </w:r>
          </w:p>
          <w:p>
            <w:pPr>
              <w:rPr>
                <w:szCs w:val="21"/>
                <w:highlight w:val="none"/>
                <w:shd w:val="clear" w:color="FFFFFF" w:fill="D9D9D9"/>
              </w:rPr>
            </w:pPr>
            <w:r>
              <w:rPr>
                <w:rFonts w:ascii="Segoe UI Symbol" w:hAnsi="Segoe UI Symbol" w:cs="Segoe UI Symbol"/>
                <w:szCs w:val="21"/>
                <w:highlight w:val="none"/>
              </w:rPr>
              <w:t>☑</w:t>
            </w:r>
            <w:r>
              <w:rPr>
                <w:rFonts w:hint="eastAsia"/>
                <w:szCs w:val="21"/>
                <w:highlight w:val="none"/>
              </w:rPr>
              <w:t>常温库：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szCs w:val="21"/>
                <w:highlight w:val="none"/>
                <w:u w:val="single"/>
                <w:lang w:eastAsia="zh-CN"/>
              </w:rPr>
              <w:t>——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szCs w:val="21"/>
                <w:highlight w:val="none"/>
              </w:rPr>
              <w:t>℃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 w:ascii="Segoe UI Symbol" w:hAnsi="Segoe UI Symbol" w:cs="Segoe UI Symbol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冷藏库：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szCs w:val="21"/>
                <w:highlight w:val="none"/>
              </w:rPr>
              <w:t>℃</w:t>
            </w:r>
          </w:p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szCs w:val="21"/>
                <w:highlight w:val="none"/>
              </w:rPr>
              <w:t>冷冻库：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>-4.6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szCs w:val="21"/>
                <w:highlight w:val="none"/>
              </w:rPr>
              <w:t>℃</w:t>
            </w:r>
          </w:p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szCs w:val="21"/>
                <w:highlight w:val="none"/>
              </w:rPr>
              <w:t>冷冻库：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>-17.1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℃</w:t>
            </w:r>
          </w:p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保鲜库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highlight w:val="none"/>
              </w:rPr>
              <w:t>℃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观察生产车间和仓库内食品添加剂的使用和储存情况：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 w:ascii="Segoe UI Symbol" w:hAnsi="Segoe UI Symbol" w:cs="Segoe UI Symbol"/>
                <w:color w:val="000000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不使用任何食品添加剂 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不使用限量食品添加剂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使用限量食品添加剂，说明：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复配膨松剂（双效泡打粉）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≤12.5g/kg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观察仓储</w:t>
            </w:r>
            <w:r>
              <w:rPr>
                <w:color w:val="000000"/>
                <w:szCs w:val="21"/>
                <w:highlight w:val="none"/>
              </w:rPr>
              <w:t>设施</w:t>
            </w:r>
            <w:r>
              <w:rPr>
                <w:rFonts w:hint="eastAsia"/>
                <w:color w:val="000000"/>
                <w:szCs w:val="21"/>
                <w:highlight w:val="none"/>
              </w:rPr>
              <w:t>的管理状况：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防虫害（蚊蝇）   </w:t>
            </w: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防鼠    </w:t>
            </w: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消防   </w:t>
            </w: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标识   </w:t>
            </w: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隔地离墙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温度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湿度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其他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观察生产/加工设备的管理状况：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产量满足生产需要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产量不满足生产需要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材质满足生产需要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材质不满足生产需要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运行完好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运行故障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正在维修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  <w:highlight w:val="none"/>
              </w:rPr>
              <w:t>☑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便于清洗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不便于清洗消毒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    </w:t>
            </w:r>
          </w:p>
          <w:p>
            <w:pPr>
              <w:rPr>
                <w:color w:val="000000"/>
                <w:szCs w:val="21"/>
                <w:highlight w:val="yellow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观察生产车间</w:t>
            </w:r>
            <w:r>
              <w:rPr>
                <w:color w:val="000000"/>
                <w:szCs w:val="21"/>
                <w:highlight w:val="none"/>
              </w:rPr>
              <w:t>监控</w:t>
            </w:r>
            <w:r>
              <w:rPr>
                <w:rFonts w:hint="eastAsia"/>
                <w:color w:val="000000"/>
                <w:szCs w:val="21"/>
                <w:highlight w:val="none"/>
              </w:rPr>
              <w:t>设备的管理状况：</w:t>
            </w:r>
          </w:p>
          <w:p>
            <w:pPr>
              <w:shd w:val="clea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压力表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color w:val="000000"/>
                <w:szCs w:val="21"/>
                <w:highlight w:val="none"/>
              </w:rPr>
              <w:t>温度计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color w:val="000000"/>
                <w:szCs w:val="21"/>
                <w:highlight w:val="none"/>
              </w:rPr>
              <w:t>记录仪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试纸  </w:t>
            </w: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电子秤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>其他</w:t>
            </w:r>
          </w:p>
          <w:p>
            <w:pPr>
              <w:shd w:val="clear"/>
              <w:rPr>
                <w:rFonts w:hint="default"/>
                <w:color w:val="000000"/>
                <w:szCs w:val="21"/>
                <w:highlight w:val="yellow"/>
                <w:lang w:val="en-US" w:eastAsia="zh-CN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观察实验室检测设备的管理状况：（不适用）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种类和精度满足检测需要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种类和精度不满足检测需要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 </w:t>
            </w:r>
          </w:p>
          <w:p>
            <w:pPr>
              <w:rPr>
                <w:color w:val="000000"/>
                <w:szCs w:val="21"/>
                <w:highlight w:val="yellow"/>
                <w:shd w:val="clear" w:color="FFFFFF" w:fill="D9D9D9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- 观察生产车间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Cs w:val="21"/>
                <w:highlight w:val="none"/>
              </w:rPr>
              <w:t>实验室检测设备的检定/校准状况：</w:t>
            </w:r>
          </w:p>
          <w:p>
            <w:pPr>
              <w:rPr>
                <w:color w:val="000000"/>
                <w:szCs w:val="21"/>
                <w:shd w:val="clear" w:color="FFFFFF" w:fill="D9D9D9"/>
              </w:rPr>
            </w:pPr>
            <w:r>
              <w:rPr>
                <w:color w:val="000000"/>
                <w:szCs w:val="21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标识齐全有效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无标识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超过有效期   </w:t>
            </w:r>
            <w:r>
              <w:rPr>
                <w:color w:val="000000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说明：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>
            <w:pPr>
              <w:rPr>
                <w:color w:val="000000"/>
                <w:szCs w:val="21"/>
                <w:shd w:val="clear" w:color="FFFFFF" w:fill="D9D9D9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DEADA" w:themeFill="accent6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 xml:space="preserve">☑ </w:t>
            </w:r>
            <w:r>
              <w:rPr>
                <w:rFonts w:hint="eastAsia"/>
                <w:color w:val="000000"/>
                <w:szCs w:val="21"/>
              </w:rPr>
              <w:t xml:space="preserve">无变更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□领导层可以迎审  □交通食宿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□ 其他：            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□审核组成员的可接受性  □一阶段的问题已整改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eq5XLSAQAAjw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ueUGKZx4qef&#10;P06//px+fyeLqE/voMS0O4eJYfhoB9yaRz+gM9IeGq/jFwkRjKO6x7O6YgiEozO/WC7zi4ISjrG8&#10;uCouk/zZv9vOQ7gVVpNoVNTj9JKo7PAZAnaCqY8psRhYJeutVCodfLv7pDw5MJz0Nj2xSbzyX5oy&#10;pK/odZEXCdnYeH/MUybiiLQ0U71IfaQYrTDshkmPna2PKMfeedl22GoSJItJOKdUddqpuAhPz2g/&#10;/Y/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d6rlctIBAACP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7B94"/>
    <w:rsid w:val="00011AC5"/>
    <w:rsid w:val="00016C4A"/>
    <w:rsid w:val="00025F8D"/>
    <w:rsid w:val="0003373A"/>
    <w:rsid w:val="000367D5"/>
    <w:rsid w:val="00044DA5"/>
    <w:rsid w:val="000451D0"/>
    <w:rsid w:val="00050712"/>
    <w:rsid w:val="0005420B"/>
    <w:rsid w:val="00062769"/>
    <w:rsid w:val="00067ED2"/>
    <w:rsid w:val="00074D9E"/>
    <w:rsid w:val="000764FA"/>
    <w:rsid w:val="00076F03"/>
    <w:rsid w:val="00097367"/>
    <w:rsid w:val="000A2C57"/>
    <w:rsid w:val="000A32E1"/>
    <w:rsid w:val="000B5EDB"/>
    <w:rsid w:val="000C6230"/>
    <w:rsid w:val="000C71CC"/>
    <w:rsid w:val="000C7D77"/>
    <w:rsid w:val="000D470C"/>
    <w:rsid w:val="000D6DCA"/>
    <w:rsid w:val="000F099E"/>
    <w:rsid w:val="00100C47"/>
    <w:rsid w:val="00103567"/>
    <w:rsid w:val="00103E50"/>
    <w:rsid w:val="00105A91"/>
    <w:rsid w:val="001103EE"/>
    <w:rsid w:val="0011053E"/>
    <w:rsid w:val="00117090"/>
    <w:rsid w:val="00124E72"/>
    <w:rsid w:val="0012695E"/>
    <w:rsid w:val="001274C9"/>
    <w:rsid w:val="0013034E"/>
    <w:rsid w:val="00132284"/>
    <w:rsid w:val="00136222"/>
    <w:rsid w:val="00142813"/>
    <w:rsid w:val="001474AE"/>
    <w:rsid w:val="0016190B"/>
    <w:rsid w:val="0016420D"/>
    <w:rsid w:val="0019467A"/>
    <w:rsid w:val="001A2D7F"/>
    <w:rsid w:val="001A3965"/>
    <w:rsid w:val="001B2025"/>
    <w:rsid w:val="001C3A33"/>
    <w:rsid w:val="001D3EA6"/>
    <w:rsid w:val="001D6152"/>
    <w:rsid w:val="001D7B95"/>
    <w:rsid w:val="001E5F50"/>
    <w:rsid w:val="001F50DD"/>
    <w:rsid w:val="0020266E"/>
    <w:rsid w:val="002209E4"/>
    <w:rsid w:val="00222270"/>
    <w:rsid w:val="002231B7"/>
    <w:rsid w:val="002420B8"/>
    <w:rsid w:val="002613B6"/>
    <w:rsid w:val="00265363"/>
    <w:rsid w:val="00270BB4"/>
    <w:rsid w:val="0027756C"/>
    <w:rsid w:val="002953C9"/>
    <w:rsid w:val="002A2081"/>
    <w:rsid w:val="002A3178"/>
    <w:rsid w:val="002D5493"/>
    <w:rsid w:val="002E5391"/>
    <w:rsid w:val="002F01B2"/>
    <w:rsid w:val="002F09D5"/>
    <w:rsid w:val="002F622E"/>
    <w:rsid w:val="00311C11"/>
    <w:rsid w:val="003146B6"/>
    <w:rsid w:val="0031617F"/>
    <w:rsid w:val="00326B9A"/>
    <w:rsid w:val="00337922"/>
    <w:rsid w:val="00340867"/>
    <w:rsid w:val="00340955"/>
    <w:rsid w:val="00342546"/>
    <w:rsid w:val="00346A58"/>
    <w:rsid w:val="00350344"/>
    <w:rsid w:val="00380837"/>
    <w:rsid w:val="00382336"/>
    <w:rsid w:val="00384B2F"/>
    <w:rsid w:val="00391013"/>
    <w:rsid w:val="00393243"/>
    <w:rsid w:val="003940BD"/>
    <w:rsid w:val="003A7321"/>
    <w:rsid w:val="003B62B0"/>
    <w:rsid w:val="003C428C"/>
    <w:rsid w:val="003D039F"/>
    <w:rsid w:val="003D064F"/>
    <w:rsid w:val="003E0472"/>
    <w:rsid w:val="003F2902"/>
    <w:rsid w:val="00410914"/>
    <w:rsid w:val="00413081"/>
    <w:rsid w:val="00433CC3"/>
    <w:rsid w:val="00435E89"/>
    <w:rsid w:val="00442919"/>
    <w:rsid w:val="00446743"/>
    <w:rsid w:val="0046557F"/>
    <w:rsid w:val="00476214"/>
    <w:rsid w:val="00480A77"/>
    <w:rsid w:val="00485655"/>
    <w:rsid w:val="00493849"/>
    <w:rsid w:val="004A3037"/>
    <w:rsid w:val="004B2BC1"/>
    <w:rsid w:val="004B5B0D"/>
    <w:rsid w:val="004C5E21"/>
    <w:rsid w:val="004D0A3B"/>
    <w:rsid w:val="004D0AEC"/>
    <w:rsid w:val="004D167D"/>
    <w:rsid w:val="004E0738"/>
    <w:rsid w:val="004E2167"/>
    <w:rsid w:val="004E45AA"/>
    <w:rsid w:val="004E6BAA"/>
    <w:rsid w:val="004F11FD"/>
    <w:rsid w:val="004F230B"/>
    <w:rsid w:val="005021D0"/>
    <w:rsid w:val="00514F0A"/>
    <w:rsid w:val="00517560"/>
    <w:rsid w:val="00533538"/>
    <w:rsid w:val="00536930"/>
    <w:rsid w:val="0053713C"/>
    <w:rsid w:val="005426F2"/>
    <w:rsid w:val="005538EC"/>
    <w:rsid w:val="00564E53"/>
    <w:rsid w:val="00577053"/>
    <w:rsid w:val="00577834"/>
    <w:rsid w:val="00585FAD"/>
    <w:rsid w:val="005C2AC8"/>
    <w:rsid w:val="005E1D4D"/>
    <w:rsid w:val="005F277C"/>
    <w:rsid w:val="005F54B8"/>
    <w:rsid w:val="005F77FC"/>
    <w:rsid w:val="00600D01"/>
    <w:rsid w:val="00616FA1"/>
    <w:rsid w:val="00622D37"/>
    <w:rsid w:val="00630DB0"/>
    <w:rsid w:val="0064442E"/>
    <w:rsid w:val="00644E1D"/>
    <w:rsid w:val="00644FE2"/>
    <w:rsid w:val="006564B4"/>
    <w:rsid w:val="00660C11"/>
    <w:rsid w:val="00664CA1"/>
    <w:rsid w:val="006659A9"/>
    <w:rsid w:val="0067640C"/>
    <w:rsid w:val="0067722B"/>
    <w:rsid w:val="00680EFF"/>
    <w:rsid w:val="00681C37"/>
    <w:rsid w:val="006A3F7B"/>
    <w:rsid w:val="006A51B5"/>
    <w:rsid w:val="006B3F91"/>
    <w:rsid w:val="006C4F1F"/>
    <w:rsid w:val="006E383A"/>
    <w:rsid w:val="006E678B"/>
    <w:rsid w:val="006F4C57"/>
    <w:rsid w:val="006F75FF"/>
    <w:rsid w:val="0073779E"/>
    <w:rsid w:val="007418A4"/>
    <w:rsid w:val="0074211D"/>
    <w:rsid w:val="00757464"/>
    <w:rsid w:val="0076448E"/>
    <w:rsid w:val="00774BB0"/>
    <w:rsid w:val="007757F3"/>
    <w:rsid w:val="00796395"/>
    <w:rsid w:val="007A358A"/>
    <w:rsid w:val="007A3D66"/>
    <w:rsid w:val="007A7108"/>
    <w:rsid w:val="007A7405"/>
    <w:rsid w:val="007B3864"/>
    <w:rsid w:val="007C29CF"/>
    <w:rsid w:val="007D168A"/>
    <w:rsid w:val="007D29AE"/>
    <w:rsid w:val="007D63C7"/>
    <w:rsid w:val="007E6AEB"/>
    <w:rsid w:val="00807EFA"/>
    <w:rsid w:val="00811444"/>
    <w:rsid w:val="00824194"/>
    <w:rsid w:val="008260DE"/>
    <w:rsid w:val="00854B68"/>
    <w:rsid w:val="008560FC"/>
    <w:rsid w:val="00862B39"/>
    <w:rsid w:val="00866028"/>
    <w:rsid w:val="00871C15"/>
    <w:rsid w:val="008726E2"/>
    <w:rsid w:val="00886FE1"/>
    <w:rsid w:val="008973EE"/>
    <w:rsid w:val="008A3F71"/>
    <w:rsid w:val="008A6326"/>
    <w:rsid w:val="008A6499"/>
    <w:rsid w:val="008A78C6"/>
    <w:rsid w:val="008B7517"/>
    <w:rsid w:val="008C0A06"/>
    <w:rsid w:val="008C0CB6"/>
    <w:rsid w:val="008C72D3"/>
    <w:rsid w:val="008C7D6A"/>
    <w:rsid w:val="008F4993"/>
    <w:rsid w:val="0090203B"/>
    <w:rsid w:val="009051F1"/>
    <w:rsid w:val="00910F30"/>
    <w:rsid w:val="009112E1"/>
    <w:rsid w:val="00916110"/>
    <w:rsid w:val="009263D1"/>
    <w:rsid w:val="00931E6D"/>
    <w:rsid w:val="0093215A"/>
    <w:rsid w:val="0093384F"/>
    <w:rsid w:val="00952788"/>
    <w:rsid w:val="00954800"/>
    <w:rsid w:val="009559C8"/>
    <w:rsid w:val="00962D12"/>
    <w:rsid w:val="00962E38"/>
    <w:rsid w:val="00971600"/>
    <w:rsid w:val="00971D33"/>
    <w:rsid w:val="00974E0D"/>
    <w:rsid w:val="009753F3"/>
    <w:rsid w:val="00981736"/>
    <w:rsid w:val="009973B4"/>
    <w:rsid w:val="009B1D94"/>
    <w:rsid w:val="009C0511"/>
    <w:rsid w:val="009D0F65"/>
    <w:rsid w:val="009D349D"/>
    <w:rsid w:val="009F78F1"/>
    <w:rsid w:val="009F7EED"/>
    <w:rsid w:val="00A061E7"/>
    <w:rsid w:val="00A1483B"/>
    <w:rsid w:val="00A27ED7"/>
    <w:rsid w:val="00A32954"/>
    <w:rsid w:val="00A35712"/>
    <w:rsid w:val="00A375AD"/>
    <w:rsid w:val="00A512B8"/>
    <w:rsid w:val="00A51EC7"/>
    <w:rsid w:val="00A60DA6"/>
    <w:rsid w:val="00A61D95"/>
    <w:rsid w:val="00A649E7"/>
    <w:rsid w:val="00A75CF2"/>
    <w:rsid w:val="00A774BE"/>
    <w:rsid w:val="00A835DB"/>
    <w:rsid w:val="00A90F48"/>
    <w:rsid w:val="00AC586F"/>
    <w:rsid w:val="00AD0251"/>
    <w:rsid w:val="00AD1D75"/>
    <w:rsid w:val="00AD74EA"/>
    <w:rsid w:val="00AE365F"/>
    <w:rsid w:val="00AE4016"/>
    <w:rsid w:val="00AE5FAB"/>
    <w:rsid w:val="00AF0AAB"/>
    <w:rsid w:val="00AF6CC4"/>
    <w:rsid w:val="00B05E50"/>
    <w:rsid w:val="00B07E97"/>
    <w:rsid w:val="00B15704"/>
    <w:rsid w:val="00B22211"/>
    <w:rsid w:val="00B258C1"/>
    <w:rsid w:val="00B317B8"/>
    <w:rsid w:val="00B47C78"/>
    <w:rsid w:val="00B66277"/>
    <w:rsid w:val="00B8665C"/>
    <w:rsid w:val="00B90C74"/>
    <w:rsid w:val="00B915AC"/>
    <w:rsid w:val="00B94AE0"/>
    <w:rsid w:val="00B95420"/>
    <w:rsid w:val="00BA2D20"/>
    <w:rsid w:val="00BB2B5B"/>
    <w:rsid w:val="00BB78B7"/>
    <w:rsid w:val="00BC08C9"/>
    <w:rsid w:val="00BD6597"/>
    <w:rsid w:val="00BD73F7"/>
    <w:rsid w:val="00BE40EB"/>
    <w:rsid w:val="00BF597E"/>
    <w:rsid w:val="00C04D3B"/>
    <w:rsid w:val="00C07229"/>
    <w:rsid w:val="00C11B21"/>
    <w:rsid w:val="00C15170"/>
    <w:rsid w:val="00C15A50"/>
    <w:rsid w:val="00C220BC"/>
    <w:rsid w:val="00C272C8"/>
    <w:rsid w:val="00C35883"/>
    <w:rsid w:val="00C35CB6"/>
    <w:rsid w:val="00C42C91"/>
    <w:rsid w:val="00C51A36"/>
    <w:rsid w:val="00C55228"/>
    <w:rsid w:val="00C57EBC"/>
    <w:rsid w:val="00C616BB"/>
    <w:rsid w:val="00C7335F"/>
    <w:rsid w:val="00C744D2"/>
    <w:rsid w:val="00C826D0"/>
    <w:rsid w:val="00C910FF"/>
    <w:rsid w:val="00C97E77"/>
    <w:rsid w:val="00CB502C"/>
    <w:rsid w:val="00CC7D3E"/>
    <w:rsid w:val="00CD1AC7"/>
    <w:rsid w:val="00CE23FB"/>
    <w:rsid w:val="00CE2A75"/>
    <w:rsid w:val="00CE315A"/>
    <w:rsid w:val="00CE34C5"/>
    <w:rsid w:val="00CE589F"/>
    <w:rsid w:val="00D06E35"/>
    <w:rsid w:val="00D06F59"/>
    <w:rsid w:val="00D1797E"/>
    <w:rsid w:val="00D210A1"/>
    <w:rsid w:val="00D21991"/>
    <w:rsid w:val="00D24011"/>
    <w:rsid w:val="00D34E4E"/>
    <w:rsid w:val="00D36BC7"/>
    <w:rsid w:val="00D42726"/>
    <w:rsid w:val="00D7554D"/>
    <w:rsid w:val="00D77524"/>
    <w:rsid w:val="00D8388C"/>
    <w:rsid w:val="00D84DC6"/>
    <w:rsid w:val="00DA410C"/>
    <w:rsid w:val="00DA5896"/>
    <w:rsid w:val="00DD5AD7"/>
    <w:rsid w:val="00E13F1E"/>
    <w:rsid w:val="00E45D57"/>
    <w:rsid w:val="00E5515B"/>
    <w:rsid w:val="00E57F5F"/>
    <w:rsid w:val="00E60789"/>
    <w:rsid w:val="00E60CEC"/>
    <w:rsid w:val="00E678D6"/>
    <w:rsid w:val="00E734D5"/>
    <w:rsid w:val="00E770EC"/>
    <w:rsid w:val="00E85CE8"/>
    <w:rsid w:val="00E96296"/>
    <w:rsid w:val="00EA4285"/>
    <w:rsid w:val="00EB0164"/>
    <w:rsid w:val="00EB7BFC"/>
    <w:rsid w:val="00EC2D9D"/>
    <w:rsid w:val="00ED0F62"/>
    <w:rsid w:val="00ED179F"/>
    <w:rsid w:val="00ED31DE"/>
    <w:rsid w:val="00EE3D8E"/>
    <w:rsid w:val="00EE4165"/>
    <w:rsid w:val="00EE5AD7"/>
    <w:rsid w:val="00EF19A4"/>
    <w:rsid w:val="00F05CBB"/>
    <w:rsid w:val="00F135F7"/>
    <w:rsid w:val="00F17883"/>
    <w:rsid w:val="00F27DE5"/>
    <w:rsid w:val="00F33E12"/>
    <w:rsid w:val="00F35C3A"/>
    <w:rsid w:val="00F411FF"/>
    <w:rsid w:val="00F47053"/>
    <w:rsid w:val="00F5005A"/>
    <w:rsid w:val="00F522BF"/>
    <w:rsid w:val="00F71ED3"/>
    <w:rsid w:val="00F76302"/>
    <w:rsid w:val="00F80D32"/>
    <w:rsid w:val="00F823ED"/>
    <w:rsid w:val="00F85FCD"/>
    <w:rsid w:val="00F9689E"/>
    <w:rsid w:val="00FA0FE2"/>
    <w:rsid w:val="00FA5D0C"/>
    <w:rsid w:val="00FB1287"/>
    <w:rsid w:val="00FC45F4"/>
    <w:rsid w:val="00FC6AFD"/>
    <w:rsid w:val="00FE02EF"/>
    <w:rsid w:val="01AC22A8"/>
    <w:rsid w:val="023E3548"/>
    <w:rsid w:val="023E7EF8"/>
    <w:rsid w:val="033D1C2C"/>
    <w:rsid w:val="03CC01AD"/>
    <w:rsid w:val="04242A2B"/>
    <w:rsid w:val="048575B6"/>
    <w:rsid w:val="05A97751"/>
    <w:rsid w:val="07687D49"/>
    <w:rsid w:val="089D2465"/>
    <w:rsid w:val="0B0349A4"/>
    <w:rsid w:val="0BA547CC"/>
    <w:rsid w:val="0BAB3B27"/>
    <w:rsid w:val="0E7B2CC7"/>
    <w:rsid w:val="0F0D1284"/>
    <w:rsid w:val="0F751007"/>
    <w:rsid w:val="1002059F"/>
    <w:rsid w:val="108219C2"/>
    <w:rsid w:val="10957F92"/>
    <w:rsid w:val="109E2734"/>
    <w:rsid w:val="10AB520A"/>
    <w:rsid w:val="11537B43"/>
    <w:rsid w:val="117E6D5A"/>
    <w:rsid w:val="12787EE6"/>
    <w:rsid w:val="12D12C05"/>
    <w:rsid w:val="130E504F"/>
    <w:rsid w:val="13890C34"/>
    <w:rsid w:val="144E55A7"/>
    <w:rsid w:val="14BA7805"/>
    <w:rsid w:val="16674354"/>
    <w:rsid w:val="16950047"/>
    <w:rsid w:val="16CD1DBA"/>
    <w:rsid w:val="184C61B5"/>
    <w:rsid w:val="18A12E8E"/>
    <w:rsid w:val="1B121C61"/>
    <w:rsid w:val="1B917B85"/>
    <w:rsid w:val="1B9B6ABA"/>
    <w:rsid w:val="1C5A0E97"/>
    <w:rsid w:val="1C633876"/>
    <w:rsid w:val="1CB32766"/>
    <w:rsid w:val="1E313132"/>
    <w:rsid w:val="1F4D1700"/>
    <w:rsid w:val="1F8B7D7A"/>
    <w:rsid w:val="1FA53B1A"/>
    <w:rsid w:val="205B068C"/>
    <w:rsid w:val="21016ED3"/>
    <w:rsid w:val="21517F70"/>
    <w:rsid w:val="217577AF"/>
    <w:rsid w:val="22401A05"/>
    <w:rsid w:val="22847E42"/>
    <w:rsid w:val="2333125B"/>
    <w:rsid w:val="24130147"/>
    <w:rsid w:val="24564FE2"/>
    <w:rsid w:val="252F00C9"/>
    <w:rsid w:val="25F731AD"/>
    <w:rsid w:val="26241121"/>
    <w:rsid w:val="26A36FC5"/>
    <w:rsid w:val="26D86D9D"/>
    <w:rsid w:val="278F25E8"/>
    <w:rsid w:val="28AE480B"/>
    <w:rsid w:val="28B643EE"/>
    <w:rsid w:val="290F2A57"/>
    <w:rsid w:val="29384107"/>
    <w:rsid w:val="2ACD303D"/>
    <w:rsid w:val="2B5D50A3"/>
    <w:rsid w:val="2DEB5B9F"/>
    <w:rsid w:val="2EE13094"/>
    <w:rsid w:val="2F2B229D"/>
    <w:rsid w:val="2F8477AE"/>
    <w:rsid w:val="30D4357D"/>
    <w:rsid w:val="322F7AAD"/>
    <w:rsid w:val="337866CB"/>
    <w:rsid w:val="342E5633"/>
    <w:rsid w:val="357300C6"/>
    <w:rsid w:val="362C71DC"/>
    <w:rsid w:val="368D4A53"/>
    <w:rsid w:val="37741286"/>
    <w:rsid w:val="38442B85"/>
    <w:rsid w:val="385A4AB2"/>
    <w:rsid w:val="38CF3AE1"/>
    <w:rsid w:val="39714FBD"/>
    <w:rsid w:val="3A242819"/>
    <w:rsid w:val="3AC608CB"/>
    <w:rsid w:val="3BBB3FFC"/>
    <w:rsid w:val="3BE22D59"/>
    <w:rsid w:val="3C4A64C8"/>
    <w:rsid w:val="3D1E51E8"/>
    <w:rsid w:val="3D207B84"/>
    <w:rsid w:val="3D662E26"/>
    <w:rsid w:val="3EBF4EFB"/>
    <w:rsid w:val="40D80BB8"/>
    <w:rsid w:val="413D1451"/>
    <w:rsid w:val="422A58BA"/>
    <w:rsid w:val="44E8380F"/>
    <w:rsid w:val="44FC1CFD"/>
    <w:rsid w:val="46177821"/>
    <w:rsid w:val="462C25D5"/>
    <w:rsid w:val="46913C28"/>
    <w:rsid w:val="46F31DBC"/>
    <w:rsid w:val="478A2FD4"/>
    <w:rsid w:val="4A040AF9"/>
    <w:rsid w:val="4A474B11"/>
    <w:rsid w:val="4BF53A59"/>
    <w:rsid w:val="4C133CFF"/>
    <w:rsid w:val="4CD55567"/>
    <w:rsid w:val="4DB85769"/>
    <w:rsid w:val="4F8F6E42"/>
    <w:rsid w:val="50486EB2"/>
    <w:rsid w:val="504978B1"/>
    <w:rsid w:val="50D533B4"/>
    <w:rsid w:val="50F446D1"/>
    <w:rsid w:val="51A77C3C"/>
    <w:rsid w:val="52721D12"/>
    <w:rsid w:val="54050D0D"/>
    <w:rsid w:val="54AF6381"/>
    <w:rsid w:val="54F02770"/>
    <w:rsid w:val="558E510B"/>
    <w:rsid w:val="55C11D09"/>
    <w:rsid w:val="57732CC8"/>
    <w:rsid w:val="57D23F41"/>
    <w:rsid w:val="58A62B52"/>
    <w:rsid w:val="58BE376D"/>
    <w:rsid w:val="59FE62E7"/>
    <w:rsid w:val="5A087CD7"/>
    <w:rsid w:val="5AA17491"/>
    <w:rsid w:val="5B926253"/>
    <w:rsid w:val="5BEB433B"/>
    <w:rsid w:val="5C5D1F9F"/>
    <w:rsid w:val="5D3C6685"/>
    <w:rsid w:val="5D5A33F7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1831066"/>
    <w:rsid w:val="623138DD"/>
    <w:rsid w:val="62A55CAB"/>
    <w:rsid w:val="6413502E"/>
    <w:rsid w:val="663634DC"/>
    <w:rsid w:val="675F1CD2"/>
    <w:rsid w:val="68F26AB6"/>
    <w:rsid w:val="68F6125C"/>
    <w:rsid w:val="69A27837"/>
    <w:rsid w:val="69F73940"/>
    <w:rsid w:val="6A35028E"/>
    <w:rsid w:val="6A4D59DC"/>
    <w:rsid w:val="6A666DEF"/>
    <w:rsid w:val="6A7E2167"/>
    <w:rsid w:val="6AF11F23"/>
    <w:rsid w:val="6C7B045A"/>
    <w:rsid w:val="6CAF4B0F"/>
    <w:rsid w:val="6E847463"/>
    <w:rsid w:val="6F753E02"/>
    <w:rsid w:val="704F0115"/>
    <w:rsid w:val="70CE651C"/>
    <w:rsid w:val="70E63C29"/>
    <w:rsid w:val="70F03A75"/>
    <w:rsid w:val="711D4B74"/>
    <w:rsid w:val="71A03430"/>
    <w:rsid w:val="724868FF"/>
    <w:rsid w:val="727536BE"/>
    <w:rsid w:val="72824AAA"/>
    <w:rsid w:val="72BC26A9"/>
    <w:rsid w:val="73125CA2"/>
    <w:rsid w:val="731A42E7"/>
    <w:rsid w:val="736232A6"/>
    <w:rsid w:val="74024AB6"/>
    <w:rsid w:val="751506D8"/>
    <w:rsid w:val="75370FDC"/>
    <w:rsid w:val="75E954AA"/>
    <w:rsid w:val="75FF34EF"/>
    <w:rsid w:val="764C516C"/>
    <w:rsid w:val="76CC1AB2"/>
    <w:rsid w:val="785E4287"/>
    <w:rsid w:val="78951B16"/>
    <w:rsid w:val="7A447DAB"/>
    <w:rsid w:val="7A907574"/>
    <w:rsid w:val="7ADF52F1"/>
    <w:rsid w:val="7AF26147"/>
    <w:rsid w:val="7C942478"/>
    <w:rsid w:val="7CA96862"/>
    <w:rsid w:val="7CFC1DF1"/>
    <w:rsid w:val="7F0F2E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16833-FA45-4389-AF61-59338A8B1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1221</Words>
  <Characters>6960</Characters>
  <Lines>58</Lines>
  <Paragraphs>16</Paragraphs>
  <TotalTime>5</TotalTime>
  <ScaleCrop>false</ScaleCrop>
  <LinksUpToDate>false</LinksUpToDate>
  <CharactersWithSpaces>8165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2020-11-29T14:30:17Z</dcterms:modified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