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9"/>
        <w:gridCol w:w="131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自贡威荣科技有限公司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工艺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  <w:t>流程图:</w:t>
            </w:r>
          </w:p>
          <w:p>
            <w:pPr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市场调研-客户、相关需求-订单（要求）评审-服务过程运行控制-服务提供控制。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项目的方案设计、测绘等实施，依据标准和作业规程进行。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潜在火灾、固废排放、噪声排放；通过应急预案和管理方案进行控制管理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  <w:highlight w:val="none"/>
              </w:rPr>
              <w:t>灾、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"http://www.csres.com/detail/227571.html"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GB/T18599-20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01；《工业固体废物综合利用技术评价导则》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"http://www.csres.com/detail/13733.html"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GB/T32326-2013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；《污水综合标准》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"http://www.csres.com/detail/271931.html"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1953260</wp:posOffset>
            </wp:positionH>
            <wp:positionV relativeFrom="page">
              <wp:posOffset>8396605</wp:posOffset>
            </wp:positionV>
            <wp:extent cx="764540" cy="453390"/>
            <wp:effectExtent l="0" t="0" r="12700" b="381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4805045</wp:posOffset>
            </wp:positionH>
            <wp:positionV relativeFrom="page">
              <wp:posOffset>8394065</wp:posOffset>
            </wp:positionV>
            <wp:extent cx="824230" cy="488315"/>
            <wp:effectExtent l="0" t="0" r="13970" b="1460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2020.11.29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2020.11.29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615AD"/>
    <w:rsid w:val="162C3E42"/>
    <w:rsid w:val="46BA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2020-11-26T05:15:52Z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