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0205-2019-2020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0"/>
        <w:gridCol w:w="1036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给水设备耐压强度试验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品管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0.2MPa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(0-1.6)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No:KY11-7.5-M-1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</w:rPr>
              <w:t>给水设备耐压强度试验过程控制规范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常温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周才君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</w:rPr>
              <w:t>给水设备耐压强度试验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</w:rPr>
              <w:t>给水设备耐压强度试验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比对</w:t>
            </w:r>
            <w:r>
              <w:rPr>
                <w:rFonts w:hint="eastAsia" w:ascii="宋体" w:hAnsi="宋体"/>
                <w:szCs w:val="21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F5690"/>
    <w:rsid w:val="796A4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2020-11-24T06:01:07Z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