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83"/>
        <w:gridCol w:w="1170"/>
        <w:gridCol w:w="6"/>
        <w:gridCol w:w="567"/>
        <w:gridCol w:w="1091"/>
        <w:gridCol w:w="151"/>
        <w:gridCol w:w="75"/>
        <w:gridCol w:w="101"/>
        <w:gridCol w:w="589"/>
        <w:gridCol w:w="261"/>
        <w:gridCol w:w="377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四川华恒正合石化科技有限公司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sz w:val="21"/>
                <w:szCs w:val="21"/>
              </w:rPr>
              <w:t>绵阳市高新区绵兴东路133号大学生创业园A214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1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7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 w:ascii="宋体" w:hAnsi="宋体" w:cs="??"/>
                <w:kern w:val="0"/>
                <w:sz w:val="24"/>
                <w:szCs w:val="24"/>
              </w:rPr>
              <w:t>戴俊洪</w:t>
            </w:r>
          </w:p>
        </w:tc>
        <w:tc>
          <w:tcPr>
            <w:tcW w:w="117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0647-2020-QEO</w:t>
            </w:r>
            <w:bookmarkEnd w:id="8"/>
          </w:p>
        </w:tc>
        <w:tc>
          <w:tcPr>
            <w:tcW w:w="117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Q：钻井废弃物无害化处理及资源处理（岩屑稳定化处理）的技术服务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E：钻井废弃物无害化处理及资源处理（岩屑稳定化处理）的技术服务所涉及的相关环境管理活动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O：钻井废弃物无害化处理及资源处理（岩屑稳定化处理）的技术服务所涉及的相关职业健康安全管理活动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2020年11月27日 上午至2020年11月28日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</w:tc>
        <w:tc>
          <w:tcPr>
            <w:tcW w:w="155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</w:tc>
        <w:tc>
          <w:tcPr>
            <w:tcW w:w="155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szCs w:val="22"/>
              </w:rPr>
              <w:t>2020年11月2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63"/>
        <w:gridCol w:w="955"/>
        <w:gridCol w:w="6352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3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余家龙宋明珠陈伟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352" w:type="dxa"/>
          </w:tcPr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QMS-2015 ：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总则；7.1.2人员；7.1.6组织知识；7.4沟通；9.1.1监测、分析和评价总则；；9.3管理评审；10.1改进 总则；10.3持续改进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EMS-2015 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ISO45001：2018：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6352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/权限；6.2质量目标及其实现的策划；7.1.4过程运行环境；7.2能力；7.3意识；7.5文件化信息；9.2内部审核；10.2不符合和纠正措施；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、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6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08:00-16:00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352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/权限；6.2质量目标及其实现的策划；8.1运行策划和控制；8.2产品和服务的要求；8.4外部提供供方的控制；9.1.2顾客满意；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38" w:type="dxa"/>
            <w:tcBorders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、陈伟、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余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5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安全管理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含临时场所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52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杨珍全、陈伟（实习）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38" w:type="dxa"/>
            <w:tcBorders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、陈伟、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730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余家龙宋明珠陈伟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30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38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余家龙宋明珠陈伟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6190F"/>
    <w:rsid w:val="0F5D1B65"/>
    <w:rsid w:val="27F676C2"/>
    <w:rsid w:val="299B3397"/>
    <w:rsid w:val="2DE9145E"/>
    <w:rsid w:val="35B36C37"/>
    <w:rsid w:val="69464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2020-11-28T05:59:36Z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