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sz w:val="21"/>
          <w:szCs w:val="21"/>
        </w:rPr>
        <w:t>0</w:t>
      </w:r>
      <w:r>
        <w:rPr>
          <w:rFonts w:hint="eastAsia"/>
          <w:sz w:val="21"/>
          <w:szCs w:val="21"/>
          <w:lang w:val="en-US" w:eastAsia="zh-CN"/>
        </w:rPr>
        <w:t>604</w:t>
      </w:r>
      <w:r>
        <w:rPr>
          <w:sz w:val="21"/>
          <w:szCs w:val="21"/>
        </w:rPr>
        <w:t>-2020-QEO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晋州市文轩泵业有限公司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吉洁</w:t>
            </w:r>
          </w:p>
        </w:tc>
        <w:tc>
          <w:tcPr>
            <w:tcW w:w="851"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组长</w:t>
            </w:r>
          </w:p>
        </w:tc>
        <w:tc>
          <w:tcPr>
            <w:tcW w:w="1417"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女</w:t>
            </w:r>
          </w:p>
        </w:tc>
        <w:tc>
          <w:tcPr>
            <w:tcW w:w="3402" w:type="dxa"/>
            <w:gridSpan w:val="4"/>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179"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Q:29.10.07</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E:29.10.07</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李蒙生</w:t>
            </w:r>
          </w:p>
        </w:tc>
        <w:tc>
          <w:tcPr>
            <w:tcW w:w="851"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组员</w:t>
            </w:r>
          </w:p>
        </w:tc>
        <w:tc>
          <w:tcPr>
            <w:tcW w:w="1417"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男</w:t>
            </w:r>
          </w:p>
        </w:tc>
        <w:tc>
          <w:tcPr>
            <w:tcW w:w="3402" w:type="dxa"/>
            <w:gridSpan w:val="4"/>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179"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Q:29.10.07</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E:29.10.07</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张鹏</w:t>
            </w:r>
          </w:p>
        </w:tc>
        <w:tc>
          <w:tcPr>
            <w:tcW w:w="851"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组员</w:t>
            </w:r>
          </w:p>
        </w:tc>
        <w:tc>
          <w:tcPr>
            <w:tcW w:w="1417"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男</w:t>
            </w:r>
          </w:p>
        </w:tc>
        <w:tc>
          <w:tcPr>
            <w:tcW w:w="3402" w:type="dxa"/>
            <w:gridSpan w:val="4"/>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179"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晋州市文轩泵业有限公司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69" w:type="dxa"/>
            <w:gridSpan w:val="3"/>
            <w:vAlign w:val="center"/>
          </w:tcPr>
          <w:p>
            <w:pPr>
              <w:spacing w:line="280" w:lineRule="exact"/>
              <w:jc w:val="both"/>
              <w:rPr>
                <w:rFonts w:hint="eastAsia" w:ascii="宋体" w:eastAsia="宋体"/>
                <w:b/>
                <w:color w:val="000000"/>
                <w:sz w:val="20"/>
                <w:szCs w:val="20"/>
                <w:lang w:eastAsia="zh-CN"/>
              </w:rPr>
            </w:pPr>
            <w:r>
              <w:rPr>
                <w:rFonts w:hint="eastAsia"/>
                <w:lang w:eastAsia="zh-CN"/>
              </w:rPr>
              <w:t>河北省石家庄市晋州市南口</w:t>
            </w:r>
          </w:p>
        </w:tc>
        <w:tc>
          <w:tcPr>
            <w:tcW w:w="1010"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213" w:type="dxa"/>
            <w:vAlign w:val="center"/>
          </w:tcPr>
          <w:p>
            <w:pPr>
              <w:spacing w:line="280" w:lineRule="exact"/>
              <w:jc w:val="both"/>
              <w:rPr>
                <w:rFonts w:hint="default" w:ascii="宋体" w:eastAsia="宋体"/>
                <w:b/>
                <w:color w:val="000000"/>
                <w:sz w:val="20"/>
                <w:szCs w:val="20"/>
                <w:lang w:val="en-US" w:eastAsia="zh-CN"/>
              </w:rPr>
            </w:pPr>
            <w:r>
              <w:rPr>
                <w:rFonts w:hint="eastAsia"/>
                <w:b w:val="0"/>
                <w:bCs w:val="0"/>
                <w:sz w:val="21"/>
                <w:szCs w:val="21"/>
                <w:lang w:val="en-US" w:eastAsia="zh-CN"/>
              </w:rP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69" w:type="dxa"/>
            <w:gridSpan w:val="3"/>
            <w:vAlign w:val="center"/>
          </w:tcPr>
          <w:p>
            <w:pPr>
              <w:spacing w:line="280" w:lineRule="exact"/>
              <w:jc w:val="both"/>
              <w:rPr>
                <w:rFonts w:hint="eastAsia" w:ascii="宋体" w:eastAsia="宋体"/>
                <w:b/>
                <w:color w:val="000000"/>
                <w:sz w:val="20"/>
                <w:szCs w:val="20"/>
                <w:lang w:eastAsia="zh-CN"/>
              </w:rPr>
            </w:pPr>
            <w:bookmarkStart w:id="8" w:name="经营地址"/>
            <w:bookmarkEnd w:id="8"/>
            <w:r>
              <w:rPr>
                <w:rFonts w:hint="eastAsia"/>
                <w:sz w:val="21"/>
                <w:szCs w:val="21"/>
                <w:lang w:eastAsia="zh-CN"/>
              </w:rPr>
              <w:t>河北省石家庄市晋州市南口</w:t>
            </w:r>
          </w:p>
        </w:tc>
        <w:tc>
          <w:tcPr>
            <w:tcW w:w="1010" w:type="dxa"/>
            <w:vMerge w:val="continue"/>
            <w:vAlign w:val="center"/>
          </w:tcPr>
          <w:p>
            <w:pPr>
              <w:spacing w:line="280" w:lineRule="exact"/>
              <w:jc w:val="both"/>
              <w:rPr>
                <w:rFonts w:ascii="宋体"/>
                <w:b/>
                <w:color w:val="000000"/>
                <w:sz w:val="20"/>
                <w:szCs w:val="20"/>
              </w:rPr>
            </w:pPr>
          </w:p>
        </w:tc>
        <w:tc>
          <w:tcPr>
            <w:tcW w:w="2213" w:type="dxa"/>
            <w:vAlign w:val="center"/>
          </w:tcPr>
          <w:p>
            <w:pPr>
              <w:spacing w:line="280" w:lineRule="exact"/>
              <w:jc w:val="both"/>
              <w:rPr>
                <w:rFonts w:hint="default" w:ascii="宋体" w:eastAsia="宋体"/>
                <w:b/>
                <w:color w:val="000000"/>
                <w:sz w:val="20"/>
                <w:szCs w:val="20"/>
                <w:lang w:val="en-US" w:eastAsia="zh-CN"/>
              </w:rPr>
            </w:pPr>
            <w:bookmarkStart w:id="9" w:name="经营邮编"/>
            <w:bookmarkEnd w:id="9"/>
            <w:r>
              <w:rPr>
                <w:rFonts w:hint="eastAsia"/>
                <w:b w:val="0"/>
                <w:bCs w:val="0"/>
                <w:sz w:val="21"/>
                <w:szCs w:val="21"/>
                <w:lang w:val="en-US" w:eastAsia="zh-CN"/>
              </w:rP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宋体" w:eastAsia="宋体"/>
                <w:b/>
                <w:color w:val="000000"/>
                <w:sz w:val="20"/>
                <w:szCs w:val="20"/>
                <w:lang w:eastAsia="zh-CN"/>
              </w:rPr>
            </w:pPr>
            <w:r>
              <w:rPr>
                <w:rFonts w:hint="eastAsia"/>
                <w:lang w:eastAsia="zh-CN"/>
              </w:rPr>
              <w:t>耿建飞</w:t>
            </w:r>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1757" w:type="dxa"/>
            <w:vAlign w:val="center"/>
          </w:tcPr>
          <w:p>
            <w:pPr>
              <w:spacing w:line="280" w:lineRule="exact"/>
              <w:jc w:val="both"/>
              <w:rPr>
                <w:rFonts w:ascii="宋体"/>
                <w:b/>
                <w:color w:val="000000"/>
                <w:sz w:val="20"/>
                <w:szCs w:val="20"/>
              </w:rPr>
            </w:pPr>
            <w:bookmarkStart w:id="10" w:name="联系人电话"/>
            <w:r>
              <w:rPr>
                <w:b w:val="0"/>
                <w:bCs w:val="0"/>
                <w:sz w:val="21"/>
                <w:szCs w:val="21"/>
              </w:rPr>
              <w:t>13933190121</w:t>
            </w:r>
            <w:bookmarkEnd w:id="10"/>
          </w:p>
        </w:tc>
        <w:tc>
          <w:tcPr>
            <w:tcW w:w="1010"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213" w:type="dxa"/>
            <w:vAlign w:val="center"/>
          </w:tcPr>
          <w:p>
            <w:pPr>
              <w:spacing w:line="280" w:lineRule="exact"/>
              <w:jc w:val="both"/>
              <w:rPr>
                <w:rFonts w:hint="default" w:ascii="宋体"/>
                <w:b/>
                <w:color w:val="000000"/>
                <w:sz w:val="20"/>
                <w:szCs w:val="20"/>
                <w:lang w:val="en-US"/>
              </w:rPr>
            </w:pPr>
            <w:bookmarkStart w:id="11" w:name="联系人传真Add1"/>
            <w:bookmarkEnd w:id="11"/>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hint="eastAsia" w:ascii="宋体" w:eastAsia="宋体"/>
                <w:b/>
                <w:color w:val="000000"/>
                <w:sz w:val="20"/>
                <w:szCs w:val="20"/>
                <w:lang w:eastAsia="zh-CN"/>
              </w:rPr>
            </w:pPr>
            <w:r>
              <w:rPr>
                <w:rFonts w:hint="eastAsia"/>
                <w:lang w:eastAsia="zh-CN"/>
              </w:rPr>
              <w:t>耿建飞</w:t>
            </w:r>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757" w:type="dxa"/>
            <w:vAlign w:val="center"/>
          </w:tcPr>
          <w:p>
            <w:pPr>
              <w:jc w:val="both"/>
              <w:rPr>
                <w:rFonts w:hint="default" w:ascii="宋体" w:eastAsia="宋体"/>
                <w:b/>
                <w:color w:val="000000"/>
                <w:sz w:val="20"/>
                <w:szCs w:val="20"/>
                <w:lang w:val="en-US" w:eastAsia="zh-CN"/>
              </w:rPr>
            </w:pPr>
            <w:r>
              <w:rPr>
                <w:rFonts w:hint="eastAsia"/>
                <w:b w:val="0"/>
                <w:bCs w:val="0"/>
                <w:sz w:val="21"/>
                <w:szCs w:val="21"/>
                <w:lang w:val="en-US" w:eastAsia="zh-CN"/>
              </w:rPr>
              <w:t>王宁宁</w:t>
            </w:r>
          </w:p>
        </w:tc>
        <w:tc>
          <w:tcPr>
            <w:tcW w:w="1010" w:type="dxa"/>
            <w:vAlign w:val="center"/>
          </w:tcPr>
          <w:p>
            <w:pPr>
              <w:jc w:val="both"/>
              <w:rPr>
                <w:rFonts w:ascii="宋体"/>
                <w:b/>
                <w:color w:val="000000"/>
                <w:sz w:val="20"/>
                <w:szCs w:val="20"/>
              </w:rPr>
            </w:pPr>
            <w:r>
              <w:rPr>
                <w:rFonts w:hint="eastAsia" w:ascii="宋体"/>
                <w:b/>
                <w:color w:val="000000"/>
                <w:sz w:val="20"/>
                <w:szCs w:val="20"/>
              </w:rPr>
              <w:t>邮箱</w:t>
            </w:r>
          </w:p>
        </w:tc>
        <w:tc>
          <w:tcPr>
            <w:tcW w:w="2213" w:type="dxa"/>
            <w:vAlign w:val="center"/>
          </w:tcPr>
          <w:p>
            <w:pPr>
              <w:jc w:val="both"/>
              <w:rPr>
                <w:rFonts w:ascii="宋体"/>
                <w:b/>
                <w:color w:val="000000"/>
                <w:sz w:val="20"/>
                <w:szCs w:val="20"/>
              </w:rPr>
            </w:pPr>
            <w:bookmarkStart w:id="12" w:name="联系人邮箱Add1"/>
            <w:bookmarkEnd w:id="12"/>
            <w:bookmarkStart w:id="13" w:name="联系人邮箱"/>
            <w:r>
              <w:rPr>
                <w:b w:val="0"/>
                <w:bCs w:val="0"/>
                <w:sz w:val="21"/>
                <w:szCs w:val="21"/>
              </w:rPr>
              <w:t>872144871@qq.com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sz w:val="21"/>
                <w:szCs w:val="21"/>
              </w:rPr>
            </w:pPr>
            <w:bookmarkStart w:id="14" w:name="审核范围"/>
            <w:r>
              <w:rPr>
                <w:sz w:val="21"/>
                <w:szCs w:val="21"/>
              </w:rPr>
              <w:t>Q：</w:t>
            </w:r>
            <w:r>
              <w:rPr>
                <w:rFonts w:hint="eastAsia"/>
                <w:sz w:val="21"/>
                <w:szCs w:val="21"/>
                <w:lang w:eastAsia="zh-CN"/>
              </w:rPr>
              <w:t>水泵</w:t>
            </w:r>
            <w:r>
              <w:rPr>
                <w:sz w:val="21"/>
                <w:szCs w:val="21"/>
              </w:rPr>
              <w:t>的销售</w:t>
            </w:r>
          </w:p>
          <w:p>
            <w:pPr>
              <w:rPr>
                <w:sz w:val="21"/>
                <w:szCs w:val="21"/>
              </w:rPr>
            </w:pPr>
            <w:r>
              <w:rPr>
                <w:sz w:val="21"/>
                <w:szCs w:val="21"/>
              </w:rPr>
              <w:t>E：</w:t>
            </w:r>
            <w:r>
              <w:rPr>
                <w:rFonts w:hint="eastAsia"/>
                <w:sz w:val="21"/>
                <w:szCs w:val="21"/>
                <w:lang w:eastAsia="zh-CN"/>
              </w:rPr>
              <w:t>水泵</w:t>
            </w:r>
            <w:r>
              <w:rPr>
                <w:sz w:val="21"/>
                <w:szCs w:val="21"/>
              </w:rPr>
              <w:t>的销售及相关环境管理活动</w:t>
            </w:r>
          </w:p>
          <w:p>
            <w:pPr>
              <w:spacing w:line="240" w:lineRule="auto"/>
              <w:rPr>
                <w:rFonts w:ascii="宋体" w:hAnsi="宋体"/>
                <w:b/>
                <w:color w:val="000000"/>
                <w:sz w:val="20"/>
                <w:szCs w:val="20"/>
              </w:rPr>
            </w:pPr>
            <w:r>
              <w:rPr>
                <w:sz w:val="21"/>
                <w:szCs w:val="21"/>
              </w:rPr>
              <w:t>O：</w:t>
            </w:r>
            <w:r>
              <w:rPr>
                <w:rFonts w:hint="eastAsia"/>
                <w:sz w:val="21"/>
                <w:szCs w:val="21"/>
                <w:lang w:eastAsia="zh-CN"/>
              </w:rPr>
              <w:t>水泵</w:t>
            </w:r>
            <w:r>
              <w:rPr>
                <w:sz w:val="21"/>
                <w:szCs w:val="21"/>
              </w:rPr>
              <w:t>的销售及相关职业健康安全管理活动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default" w:ascii="Times New Roman" w:hAnsi="Times New Roman" w:cs="Times New Roman"/>
                <w:b w:val="0"/>
                <w:bCs w:val="0"/>
                <w:sz w:val="21"/>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sz w:val="21"/>
          <w:szCs w:val="21"/>
          <w:lang w:eastAsia="zh-CN"/>
        </w:rPr>
        <w:t>河北省石家庄市晋州市南口</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jc w:val="left"/>
              <w:rPr>
                <w:rFonts w:ascii="宋体"/>
                <w:b/>
                <w:color w:val="000000"/>
                <w:sz w:val="20"/>
                <w:szCs w:val="20"/>
              </w:rPr>
            </w:pPr>
            <w:r>
              <w:rPr>
                <w:rFonts w:hint="eastAsia"/>
                <w:sz w:val="21"/>
                <w:szCs w:val="21"/>
                <w:lang w:eastAsia="zh-CN"/>
              </w:rPr>
              <w:t>水泵</w:t>
            </w:r>
            <w:r>
              <w:rPr>
                <w:sz w:val="21"/>
                <w:szCs w:val="21"/>
              </w:rP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河北省石家庄市晋州市南口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河北省石家庄市晋州市南口</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针对关键过程建立的控制文件有：与顾客有关的过程控制程序</w:t>
            </w:r>
            <w:r>
              <w:rPr>
                <w:rFonts w:hint="eastAsia" w:ascii="宋体" w:hAnsi="宋体"/>
                <w:color w:val="000000"/>
                <w:sz w:val="20"/>
                <w:szCs w:val="20"/>
                <w:lang w:eastAsia="zh-CN"/>
              </w:rPr>
              <w:t>、</w:t>
            </w:r>
            <w:r>
              <w:rPr>
                <w:rFonts w:hint="eastAsia"/>
                <w:sz w:val="21"/>
                <w:szCs w:val="21"/>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公司管理体系基本能按策划和GB/T19001-2016、GB/T24001-2016、ISO45001:2018标准的要求有效运行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1、公司的质量及环境、职业健康安全方针和目标与公司目前的情况是适宜的、充分的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sz w:val="21"/>
          <w:szCs w:val="21"/>
        </w:rPr>
      </w:pPr>
      <w:r>
        <w:rPr>
          <w:sz w:val="21"/>
          <w:szCs w:val="21"/>
        </w:rPr>
        <w:t>Q：</w:t>
      </w:r>
      <w:r>
        <w:rPr>
          <w:rFonts w:hint="eastAsia"/>
          <w:sz w:val="21"/>
          <w:szCs w:val="21"/>
          <w:lang w:eastAsia="zh-CN"/>
        </w:rPr>
        <w:t>水泵</w:t>
      </w:r>
      <w:r>
        <w:rPr>
          <w:sz w:val="21"/>
          <w:szCs w:val="21"/>
        </w:rPr>
        <w:t>的销售</w:t>
      </w:r>
    </w:p>
    <w:p>
      <w:pPr>
        <w:ind w:firstLine="210" w:firstLineChars="100"/>
        <w:rPr>
          <w:sz w:val="21"/>
          <w:szCs w:val="21"/>
        </w:rPr>
      </w:pPr>
      <w:r>
        <w:rPr>
          <w:sz w:val="21"/>
          <w:szCs w:val="21"/>
        </w:rPr>
        <w:t>E：</w:t>
      </w:r>
      <w:r>
        <w:rPr>
          <w:rFonts w:hint="eastAsia"/>
          <w:sz w:val="21"/>
          <w:szCs w:val="21"/>
          <w:lang w:eastAsia="zh-CN"/>
        </w:rPr>
        <w:t>水泵</w:t>
      </w:r>
      <w:r>
        <w:rPr>
          <w:sz w:val="21"/>
          <w:szCs w:val="21"/>
        </w:rPr>
        <w:t>的销售及相关环境管理活动</w:t>
      </w:r>
    </w:p>
    <w:p>
      <w:pPr>
        <w:spacing w:line="300" w:lineRule="auto"/>
        <w:ind w:firstLine="210" w:firstLineChars="100"/>
        <w:rPr>
          <w:sz w:val="21"/>
          <w:szCs w:val="21"/>
        </w:rPr>
      </w:pPr>
      <w:r>
        <w:rPr>
          <w:sz w:val="21"/>
          <w:szCs w:val="21"/>
        </w:rPr>
        <w:t>O：</w:t>
      </w:r>
      <w:r>
        <w:rPr>
          <w:rFonts w:hint="eastAsia"/>
          <w:sz w:val="21"/>
          <w:szCs w:val="21"/>
          <w:lang w:eastAsia="zh-CN"/>
        </w:rPr>
        <w:t>水泵</w:t>
      </w:r>
      <w:r>
        <w:rPr>
          <w:sz w:val="21"/>
          <w:szCs w:val="21"/>
        </w:rPr>
        <w:t>的销售及相关职业健康安全管理活动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-254635</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80768" behindDoc="0" locked="0" layoutInCell="1" allowOverlap="1">
            <wp:simplePos x="0" y="0"/>
            <wp:positionH relativeFrom="column">
              <wp:posOffset>3182620</wp:posOffset>
            </wp:positionH>
            <wp:positionV relativeFrom="paragraph">
              <wp:posOffset>137160</wp:posOffset>
            </wp:positionV>
            <wp:extent cx="918845" cy="487680"/>
            <wp:effectExtent l="0" t="0" r="8255"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18845" cy="487680"/>
                    </a:xfrm>
                    <a:prstGeom prst="rect">
                      <a:avLst/>
                    </a:prstGeom>
                    <a:noFill/>
                    <a:ln>
                      <a:noFill/>
                    </a:ln>
                  </pic:spPr>
                </pic:pic>
              </a:graphicData>
            </a:graphic>
          </wp:anchor>
        </w:drawing>
      </w:r>
    </w:p>
    <w:p>
      <w:pPr>
        <w:spacing w:line="400" w:lineRule="exact"/>
        <w:ind w:firstLine="800" w:firstLineChars="400"/>
        <w:rPr>
          <w:rFonts w:ascii="宋体"/>
          <w:b/>
          <w:color w:val="000000"/>
        </w:rPr>
      </w:pPr>
      <w:r>
        <w:rPr>
          <w:sz w:val="20"/>
        </w:rPr>
        <w:drawing>
          <wp:anchor distT="0" distB="0" distL="0" distR="0" simplePos="0" relativeHeight="251675648" behindDoc="0" locked="0" layoutInCell="1" allowOverlap="1">
            <wp:simplePos x="0" y="0"/>
            <wp:positionH relativeFrom="column">
              <wp:posOffset>1934210</wp:posOffset>
            </wp:positionH>
            <wp:positionV relativeFrom="paragraph">
              <wp:posOffset>635</wp:posOffset>
            </wp:positionV>
            <wp:extent cx="858520" cy="363220"/>
            <wp:effectExtent l="0" t="0" r="508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2020.11.28</w:t>
      </w:r>
      <w:bookmarkStart w:id="15" w:name="_GoBack"/>
      <w:bookmarkEnd w:id="15"/>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1026" o:spid="_x0000_s1026" o:spt="20" style="position:absolute;left:0pt;flip:y;margin-left:12.1pt;margin-top:16.4pt;height:230pt;width:467.25pt;z-index:251674624;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77558"/>
    <w:rsid w:val="1D0C61DC"/>
    <w:rsid w:val="38744EEA"/>
    <w:rsid w:val="4205474A"/>
    <w:rsid w:val="44FA4D29"/>
    <w:rsid w:val="5A700975"/>
    <w:rsid w:val="79335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2020-12-15T13:13:57Z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