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b/>
          <w:bCs/>
          <w:sz w:val="24"/>
          <w:szCs w:val="24"/>
        </w:rPr>
        <w:t>0655-2020-Q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新乡市明宇化工有限公司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259"/>
        <w:gridCol w:w="446"/>
        <w:gridCol w:w="99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13"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998"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w:t>
            </w:r>
            <w:r>
              <w:rPr>
                <w:rFonts w:hint="eastAsia"/>
                <w:b/>
                <w:color w:val="000000"/>
                <w:sz w:val="20"/>
                <w:szCs w:val="20"/>
              </w:rPr>
              <w:t>5</w:t>
            </w:r>
            <w:r>
              <w:rPr>
                <w:rFonts w:hint="eastAsia"/>
                <w:b/>
                <w:color w:val="000000"/>
                <w:sz w:val="20"/>
                <w:szCs w:val="20"/>
                <w:lang w:val="en-US" w:eastAsia="zh-CN"/>
              </w:rPr>
              <w:t>3516258</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05" w:type="dxa"/>
            <w:gridSpan w:val="2"/>
            <w:vAlign w:val="center"/>
          </w:tcPr>
          <w:p>
            <w:pPr>
              <w:rPr>
                <w:b/>
                <w:color w:val="000000"/>
                <w:sz w:val="20"/>
                <w:szCs w:val="20"/>
              </w:rPr>
            </w:pPr>
            <w:r>
              <w:rPr>
                <w:rFonts w:hint="eastAsia"/>
                <w:b/>
                <w:color w:val="000000"/>
                <w:sz w:val="20"/>
                <w:szCs w:val="20"/>
              </w:rPr>
              <w:t>邮箱</w:t>
            </w:r>
          </w:p>
        </w:tc>
        <w:tc>
          <w:tcPr>
            <w:tcW w:w="2468" w:type="dxa"/>
            <w:gridSpan w:val="2"/>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667" w:type="dxa"/>
            <w:gridSpan w:val="3"/>
            <w:vAlign w:val="center"/>
          </w:tcPr>
          <w:p>
            <w:pPr>
              <w:spacing w:line="240" w:lineRule="exact"/>
              <w:jc w:val="center"/>
              <w:rPr>
                <w:b/>
                <w:color w:val="000000"/>
                <w:sz w:val="20"/>
                <w:szCs w:val="20"/>
              </w:rPr>
            </w:pPr>
            <w:r>
              <w:rPr>
                <w:rFonts w:hint="eastAsia"/>
                <w:sz w:val="18"/>
                <w:szCs w:val="18"/>
              </w:rPr>
              <w:t>注册资格</w:t>
            </w:r>
          </w:p>
        </w:tc>
        <w:tc>
          <w:tcPr>
            <w:tcW w:w="2914" w:type="dxa"/>
            <w:gridSpan w:val="3"/>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667" w:type="dxa"/>
            <w:gridSpan w:val="3"/>
            <w:vAlign w:val="center"/>
          </w:tcPr>
          <w:p>
            <w:pPr>
              <w:spacing w:line="240" w:lineRule="exact"/>
              <w:jc w:val="center"/>
              <w:rPr>
                <w:b/>
                <w:color w:val="000000"/>
                <w:sz w:val="20"/>
                <w:szCs w:val="20"/>
              </w:rPr>
            </w:pPr>
            <w:r>
              <w:rPr>
                <w:sz w:val="22"/>
                <w:szCs w:val="22"/>
                <w:highlight w:val="none"/>
              </w:rPr>
              <w:t>2019-N1QMS-3022240</w:t>
            </w:r>
          </w:p>
        </w:tc>
        <w:tc>
          <w:tcPr>
            <w:tcW w:w="2914" w:type="dxa"/>
            <w:gridSpan w:val="3"/>
            <w:vAlign w:val="center"/>
          </w:tcPr>
          <w:p>
            <w:pPr>
              <w:spacing w:line="240" w:lineRule="exact"/>
              <w:jc w:val="center"/>
              <w:rPr>
                <w:rFonts w:hint="eastAsia" w:eastAsia="宋体"/>
                <w:b/>
                <w:color w:val="000000"/>
                <w:sz w:val="20"/>
                <w:szCs w:val="20"/>
                <w:lang w:eastAsia="zh-CN"/>
              </w:rPr>
            </w:pPr>
            <w:r>
              <w:rPr>
                <w:rFonts w:hint="eastAsia"/>
                <w:b/>
                <w:szCs w:val="21"/>
              </w:rPr>
              <w:t>12.01.03;12.03.00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eastAsia="宋体"/>
                <w:b/>
                <w:color w:val="000000"/>
                <w:sz w:val="20"/>
                <w:szCs w:val="20"/>
                <w:lang w:eastAsia="zh-CN"/>
              </w:rPr>
            </w:pPr>
          </w:p>
        </w:tc>
        <w:tc>
          <w:tcPr>
            <w:tcW w:w="851" w:type="dxa"/>
            <w:gridSpan w:val="2"/>
            <w:vAlign w:val="center"/>
          </w:tcPr>
          <w:p>
            <w:pPr>
              <w:spacing w:line="240" w:lineRule="exact"/>
              <w:jc w:val="center"/>
              <w:rPr>
                <w:sz w:val="18"/>
                <w:szCs w:val="18"/>
              </w:rPr>
            </w:pPr>
          </w:p>
        </w:tc>
        <w:tc>
          <w:tcPr>
            <w:tcW w:w="1417" w:type="dxa"/>
            <w:gridSpan w:val="2"/>
            <w:vAlign w:val="center"/>
          </w:tcPr>
          <w:p>
            <w:pPr>
              <w:spacing w:line="240" w:lineRule="exact"/>
              <w:jc w:val="center"/>
              <w:rPr>
                <w:b/>
                <w:color w:val="000000"/>
                <w:sz w:val="20"/>
                <w:szCs w:val="20"/>
              </w:rPr>
            </w:pPr>
          </w:p>
        </w:tc>
        <w:tc>
          <w:tcPr>
            <w:tcW w:w="2667" w:type="dxa"/>
            <w:gridSpan w:val="3"/>
            <w:vAlign w:val="center"/>
          </w:tcPr>
          <w:p>
            <w:pPr>
              <w:spacing w:line="240" w:lineRule="exact"/>
              <w:jc w:val="center"/>
              <w:rPr>
                <w:b/>
                <w:color w:val="000000"/>
                <w:sz w:val="20"/>
                <w:szCs w:val="20"/>
              </w:rPr>
            </w:pPr>
          </w:p>
        </w:tc>
        <w:tc>
          <w:tcPr>
            <w:tcW w:w="2914" w:type="dxa"/>
            <w:gridSpan w:val="3"/>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667" w:type="dxa"/>
            <w:gridSpan w:val="3"/>
            <w:vAlign w:val="center"/>
          </w:tcPr>
          <w:p>
            <w:pPr>
              <w:rPr>
                <w:b/>
                <w:color w:val="000000"/>
                <w:sz w:val="20"/>
                <w:szCs w:val="20"/>
              </w:rPr>
            </w:pPr>
            <w:r>
              <w:rPr>
                <w:rFonts w:hint="eastAsia"/>
                <w:b/>
                <w:color w:val="000000"/>
                <w:sz w:val="20"/>
                <w:szCs w:val="20"/>
              </w:rPr>
              <w:t>工作单位</w:t>
            </w:r>
          </w:p>
        </w:tc>
        <w:tc>
          <w:tcPr>
            <w:tcW w:w="2914"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2667" w:type="dxa"/>
            <w:gridSpan w:val="3"/>
            <w:vAlign w:val="center"/>
          </w:tcPr>
          <w:p>
            <w:pPr>
              <w:rPr>
                <w:b/>
                <w:color w:val="000000"/>
              </w:rPr>
            </w:pPr>
          </w:p>
        </w:tc>
        <w:tc>
          <w:tcPr>
            <w:tcW w:w="2914" w:type="dxa"/>
            <w:gridSpan w:val="3"/>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1" w:name="认证领域"/>
      <w:r>
        <w:rPr>
          <w:rFonts w:hint="eastAsia" w:ascii="宋体" w:hAnsi="宋体"/>
          <w:b/>
          <w:color w:val="000000"/>
          <w:sz w:val="20"/>
          <w:szCs w:val="20"/>
        </w:rPr>
        <w:t>质量管理体系,环境管理体系,职业健康安全管理体系</w:t>
      </w:r>
      <w:bookmarkEnd w:id="1"/>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67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sz w:val="21"/>
                <w:szCs w:val="21"/>
                <w:lang w:eastAsia="zh-CN"/>
              </w:rPr>
            </w:pPr>
            <w:r>
              <w:rPr>
                <w:rFonts w:hint="eastAsia"/>
                <w:sz w:val="21"/>
                <w:szCs w:val="21"/>
                <w:lang w:eastAsia="zh-CN"/>
              </w:rPr>
              <w:t>新乡市明宇化工有限公司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hint="eastAsia" w:eastAsia="宋体"/>
                <w:sz w:val="21"/>
                <w:szCs w:val="21"/>
                <w:lang w:eastAsia="zh-CN"/>
              </w:rPr>
            </w:pPr>
            <w:r>
              <w:rPr>
                <w:rFonts w:hint="eastAsia"/>
                <w:sz w:val="21"/>
                <w:szCs w:val="21"/>
                <w:lang w:eastAsia="zh-CN"/>
              </w:rPr>
              <w:t>新乡市黄河大道158号</w:t>
            </w:r>
          </w:p>
        </w:tc>
        <w:tc>
          <w:tcPr>
            <w:tcW w:w="677" w:type="dxa"/>
            <w:vMerge w:val="restart"/>
            <w:vAlign w:val="center"/>
          </w:tcPr>
          <w:p>
            <w:pPr>
              <w:spacing w:line="280" w:lineRule="exact"/>
              <w:jc w:val="both"/>
              <w:rPr>
                <w:sz w:val="21"/>
                <w:szCs w:val="21"/>
              </w:rPr>
            </w:pPr>
            <w:r>
              <w:rPr>
                <w:rFonts w:hint="eastAsia"/>
                <w:sz w:val="21"/>
                <w:szCs w:val="21"/>
              </w:rPr>
              <w:t>邮编</w:t>
            </w:r>
          </w:p>
        </w:tc>
        <w:tc>
          <w:tcPr>
            <w:tcW w:w="2123" w:type="dxa"/>
            <w:vAlign w:val="center"/>
          </w:tcPr>
          <w:p>
            <w:pPr>
              <w:spacing w:line="280" w:lineRule="exact"/>
              <w:jc w:val="both"/>
              <w:rPr>
                <w:rFonts w:hint="eastAsia" w:eastAsia="宋体"/>
                <w:sz w:val="21"/>
                <w:szCs w:val="21"/>
                <w:lang w:eastAsia="zh-CN"/>
              </w:rPr>
            </w:pPr>
            <w:r>
              <w:rPr>
                <w:rFonts w:hint="eastAsia"/>
                <w:b w:val="0"/>
                <w:bCs w:val="0"/>
                <w:sz w:val="21"/>
                <w:szCs w:val="21"/>
                <w:lang w:eastAsia="zh-CN"/>
              </w:rPr>
              <w:t>453000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center"/>
          </w:tcPr>
          <w:p>
            <w:pPr>
              <w:spacing w:line="280" w:lineRule="exact"/>
              <w:jc w:val="both"/>
              <w:rPr>
                <w:rFonts w:hint="eastAsia"/>
                <w:sz w:val="21"/>
                <w:szCs w:val="21"/>
                <w:lang w:eastAsia="zh-CN"/>
              </w:rPr>
            </w:pPr>
            <w:r>
              <w:rPr>
                <w:rFonts w:hint="eastAsia"/>
                <w:sz w:val="21"/>
                <w:szCs w:val="21"/>
                <w:lang w:eastAsia="zh-CN"/>
              </w:rPr>
              <w:t>新乡市黄河大道158号</w:t>
            </w:r>
          </w:p>
        </w:tc>
        <w:tc>
          <w:tcPr>
            <w:tcW w:w="677" w:type="dxa"/>
            <w:vMerge w:val="continue"/>
            <w:vAlign w:val="center"/>
          </w:tcPr>
          <w:p>
            <w:pPr>
              <w:spacing w:line="280" w:lineRule="exact"/>
              <w:jc w:val="both"/>
              <w:rPr>
                <w:sz w:val="21"/>
                <w:szCs w:val="21"/>
              </w:rPr>
            </w:pPr>
          </w:p>
        </w:tc>
        <w:tc>
          <w:tcPr>
            <w:tcW w:w="2123" w:type="dxa"/>
            <w:vAlign w:val="center"/>
          </w:tcPr>
          <w:p>
            <w:pPr>
              <w:spacing w:line="280" w:lineRule="exact"/>
              <w:jc w:val="both"/>
              <w:rPr>
                <w:rFonts w:hint="eastAsia" w:eastAsia="宋体"/>
                <w:sz w:val="21"/>
                <w:szCs w:val="21"/>
                <w:lang w:eastAsia="zh-CN"/>
              </w:rPr>
            </w:pPr>
            <w:r>
              <w:rPr>
                <w:rFonts w:hint="eastAsia"/>
                <w:b w:val="0"/>
                <w:bCs w:val="0"/>
                <w:sz w:val="21"/>
                <w:szCs w:val="21"/>
                <w:lang w:eastAsia="zh-CN"/>
              </w:rPr>
              <w:t>453000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hint="default" w:eastAsia="宋体"/>
                <w:sz w:val="21"/>
                <w:szCs w:val="21"/>
                <w:lang w:val="en-US" w:eastAsia="zh-CN"/>
              </w:rPr>
            </w:pPr>
            <w:bookmarkStart w:id="2" w:name="联系人"/>
            <w:r>
              <w:t>薛蓓</w:t>
            </w:r>
            <w:bookmarkEnd w:id="2"/>
          </w:p>
        </w:tc>
        <w:tc>
          <w:tcPr>
            <w:tcW w:w="1463" w:type="dxa"/>
            <w:vAlign w:val="center"/>
          </w:tcPr>
          <w:p>
            <w:pPr>
              <w:spacing w:line="280" w:lineRule="exact"/>
              <w:jc w:val="both"/>
              <w:rPr>
                <w:sz w:val="21"/>
                <w:szCs w:val="21"/>
              </w:rPr>
            </w:pPr>
            <w:r>
              <w:rPr>
                <w:rFonts w:hint="eastAsia"/>
                <w:sz w:val="21"/>
                <w:szCs w:val="21"/>
              </w:rPr>
              <w:t>电话</w:t>
            </w:r>
          </w:p>
        </w:tc>
        <w:tc>
          <w:tcPr>
            <w:tcW w:w="2180" w:type="dxa"/>
            <w:vAlign w:val="center"/>
          </w:tcPr>
          <w:p>
            <w:pPr>
              <w:spacing w:line="280" w:lineRule="exact"/>
              <w:jc w:val="both"/>
              <w:rPr>
                <w:sz w:val="21"/>
                <w:szCs w:val="21"/>
              </w:rPr>
            </w:pPr>
            <w:bookmarkStart w:id="3" w:name="联系人手机"/>
            <w:r>
              <w:t>18937369061</w:t>
            </w:r>
            <w:bookmarkEnd w:id="3"/>
          </w:p>
        </w:tc>
        <w:tc>
          <w:tcPr>
            <w:tcW w:w="677" w:type="dxa"/>
            <w:vAlign w:val="center"/>
          </w:tcPr>
          <w:p>
            <w:pPr>
              <w:spacing w:line="280" w:lineRule="exact"/>
              <w:jc w:val="both"/>
              <w:rPr>
                <w:sz w:val="21"/>
                <w:szCs w:val="21"/>
              </w:rPr>
            </w:pPr>
            <w:r>
              <w:rPr>
                <w:rFonts w:hint="eastAsia"/>
                <w:sz w:val="21"/>
                <w:szCs w:val="21"/>
              </w:rPr>
              <w:t>传真</w:t>
            </w:r>
          </w:p>
        </w:tc>
        <w:tc>
          <w:tcPr>
            <w:tcW w:w="2123" w:type="dxa"/>
            <w:vAlign w:val="center"/>
          </w:tcPr>
          <w:p>
            <w:pPr>
              <w:spacing w:line="280" w:lineRule="exact"/>
              <w:jc w:val="both"/>
              <w:rPr>
                <w:sz w:val="21"/>
                <w:szCs w:val="21"/>
              </w:rPr>
            </w:pPr>
            <w:bookmarkStart w:id="4" w:name="联系人传真Add1"/>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spacing w:line="280" w:lineRule="exact"/>
              <w:jc w:val="both"/>
              <w:rPr>
                <w:sz w:val="21"/>
                <w:szCs w:val="21"/>
              </w:rPr>
            </w:pPr>
            <w:bookmarkStart w:id="5" w:name="法人"/>
            <w:r>
              <w:t>郭俊</w:t>
            </w:r>
            <w:bookmarkEnd w:id="5"/>
          </w:p>
        </w:tc>
        <w:tc>
          <w:tcPr>
            <w:tcW w:w="1463" w:type="dxa"/>
            <w:vAlign w:val="center"/>
          </w:tcPr>
          <w:p>
            <w:pPr>
              <w:spacing w:line="280" w:lineRule="exact"/>
              <w:jc w:val="both"/>
              <w:rPr>
                <w:sz w:val="21"/>
                <w:szCs w:val="21"/>
              </w:rPr>
            </w:pPr>
            <w:r>
              <w:rPr>
                <w:rFonts w:hint="eastAsia"/>
                <w:sz w:val="21"/>
                <w:szCs w:val="21"/>
              </w:rPr>
              <w:t>管理者代表</w:t>
            </w:r>
          </w:p>
        </w:tc>
        <w:tc>
          <w:tcPr>
            <w:tcW w:w="2180" w:type="dxa"/>
            <w:vAlign w:val="center"/>
          </w:tcPr>
          <w:p>
            <w:pPr>
              <w:spacing w:line="280" w:lineRule="exact"/>
              <w:jc w:val="both"/>
              <w:rPr>
                <w:sz w:val="21"/>
                <w:szCs w:val="21"/>
              </w:rPr>
            </w:pPr>
            <w:r>
              <w:t>郭俊</w:t>
            </w:r>
          </w:p>
        </w:tc>
        <w:tc>
          <w:tcPr>
            <w:tcW w:w="677" w:type="dxa"/>
            <w:vAlign w:val="center"/>
          </w:tcPr>
          <w:p>
            <w:pPr>
              <w:spacing w:line="280" w:lineRule="exact"/>
              <w:jc w:val="both"/>
              <w:rPr>
                <w:sz w:val="21"/>
                <w:szCs w:val="21"/>
              </w:rPr>
            </w:pPr>
            <w:r>
              <w:rPr>
                <w:rFonts w:hint="eastAsia"/>
                <w:sz w:val="21"/>
                <w:szCs w:val="21"/>
              </w:rPr>
              <w:t>邮箱</w:t>
            </w:r>
          </w:p>
        </w:tc>
        <w:tc>
          <w:tcPr>
            <w:tcW w:w="2123" w:type="dxa"/>
            <w:vAlign w:val="center"/>
          </w:tcPr>
          <w:p>
            <w:pPr>
              <w:spacing w:line="280" w:lineRule="exact"/>
              <w:jc w:val="both"/>
              <w:rPr>
                <w:rFonts w:hint="default" w:eastAsia="宋体"/>
                <w:sz w:val="21"/>
                <w:szCs w:val="21"/>
                <w:lang w:val="en-US" w:eastAsia="zh-CN"/>
              </w:rPr>
            </w:pPr>
            <w:bookmarkStart w:id="6" w:name="联系人邮箱"/>
            <w:r>
              <w:rPr>
                <w:b w:val="0"/>
                <w:bCs w:val="0"/>
                <w:sz w:val="21"/>
                <w:szCs w:val="21"/>
              </w:rPr>
              <w:t>578013977@qq.com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jc w:val="both"/>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2020年</w:t>
            </w:r>
            <w:r>
              <w:rPr>
                <w:rFonts w:hint="eastAsia" w:cs="Times New Roman"/>
                <w:b w:val="0"/>
                <w:bCs/>
                <w:color w:val="000000"/>
                <w:sz w:val="20"/>
                <w:szCs w:val="20"/>
                <w:lang w:val="en-US" w:eastAsia="zh-CN"/>
              </w:rPr>
              <w:t>8</w:t>
            </w:r>
            <w:r>
              <w:rPr>
                <w:rFonts w:hint="default" w:ascii="Times New Roman" w:hAnsi="Times New Roman" w:cs="Times New Roman"/>
                <w:b w:val="0"/>
                <w:bCs/>
                <w:color w:val="000000"/>
                <w:sz w:val="20"/>
                <w:szCs w:val="20"/>
                <w:lang w:val="en-US" w:eastAsia="zh-CN"/>
              </w:rPr>
              <w:t>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280" w:lineRule="exact"/>
              <w:rPr>
                <w:rFonts w:hint="default" w:ascii="Times New Roman" w:hAnsi="Times New Roman" w:cs="Times New Roman"/>
                <w:b w:val="0"/>
                <w:bCs/>
                <w:color w:val="000000"/>
                <w:sz w:val="20"/>
                <w:szCs w:val="20"/>
              </w:rPr>
            </w:pPr>
            <w:bookmarkStart w:id="7" w:name="审核范围"/>
            <w:r>
              <w:rPr>
                <w:rFonts w:hint="eastAsia" w:ascii="宋体" w:hAnsi="宋体"/>
                <w:szCs w:val="21"/>
              </w:rPr>
              <w:t>水性电泳涂料、电源材料（氧化镉、海绵镉、锌合金）的生产</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default" w:ascii="Times New Roman" w:hAnsi="Times New Roman" w:eastAsia="宋体" w:cs="Times New Roman"/>
                <w:b w:val="0"/>
                <w:bCs/>
                <w:color w:val="000000"/>
                <w:sz w:val="20"/>
                <w:szCs w:val="20"/>
                <w:lang w:eastAsia="zh-CN"/>
              </w:rPr>
            </w:pPr>
            <w:r>
              <w:rPr>
                <w:rFonts w:hint="eastAsia"/>
                <w:b/>
                <w:szCs w:val="21"/>
              </w:rPr>
              <w:t>12.01.03;12.03.00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总部以外分公司(分场所)名称、地址（可附多场所清单）</w:t>
            </w:r>
            <w:r>
              <w:rPr>
                <w:rFonts w:hint="default" w:ascii="Times New Roman" w:hAnsi="Times New Roman" w:cs="Times New Roman"/>
                <w:b w:val="0"/>
                <w:bCs/>
                <w:color w:val="000000"/>
                <w:sz w:val="20"/>
                <w:szCs w:val="20"/>
                <w:lang w:val="en-US" w:eastAsia="zh-CN"/>
              </w:rPr>
              <w:t>无</w:t>
            </w:r>
          </w:p>
          <w:p>
            <w:pPr>
              <w:spacing w:line="280" w:lineRule="exac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所有项目部(</w:t>
            </w:r>
            <w:r>
              <w:rPr>
                <w:rFonts w:hint="default" w:ascii="Times New Roman" w:hAnsi="Times New Roman" w:cs="Times New Roman"/>
                <w:b w:val="0"/>
                <w:bCs/>
                <w:color w:val="000000"/>
                <w:spacing w:val="-2"/>
                <w:sz w:val="20"/>
                <w:szCs w:val="20"/>
              </w:rPr>
              <w:t>临时场所</w:t>
            </w:r>
            <w:r>
              <w:rPr>
                <w:rFonts w:hint="default" w:ascii="Times New Roman" w:hAnsi="Times New Roman" w:cs="Times New Roman"/>
                <w:b w:val="0"/>
                <w:bCs/>
                <w:color w:val="000000"/>
                <w:sz w:val="20"/>
                <w:szCs w:val="20"/>
              </w:rPr>
              <w:t>)名称、地址(可附项目清单)</w:t>
            </w:r>
            <w:r>
              <w:rPr>
                <w:rFonts w:hint="default" w:ascii="Times New Roman" w:hAnsi="Times New Roman" w:cs="Times New Roman"/>
                <w:b w:val="0"/>
                <w:bCs/>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val="0"/>
          <w:sz w:val="21"/>
          <w:szCs w:val="21"/>
          <w:lang w:val="en-US" w:eastAsia="zh-CN"/>
        </w:rPr>
        <w:t>办公区、生产车间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szCs w:val="21"/>
              </w:rPr>
              <w:t>水性电泳涂料、电源材料（氧化镉、海绵镉、锌合金）的生产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办公室、生产技术部、供销部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新乡市黄河大道158号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新乡市黄河大道158号</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eastAsia="宋体"/>
                <w:color w:val="000000"/>
                <w:sz w:val="20"/>
                <w:szCs w:val="20"/>
                <w:lang w:val="en-US" w:eastAsia="zh-CN"/>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产品技术标准号：YS/T1365-2020《海绵镉》、YS/T1217-2018《氧化镉》、HG/T3952-2007《阴极电泳涂料》、GBT 26039-2010 《无汞锌粉》□合同：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color w:val="000000"/>
                <w:sz w:val="20"/>
                <w:szCs w:val="20"/>
              </w:rPr>
            </w:pPr>
            <w:r>
              <w:rPr>
                <w:rFonts w:hint="eastAsia" w:ascii="宋体"/>
                <w:color w:val="000000"/>
                <w:sz w:val="20"/>
                <w:szCs w:val="20"/>
              </w:rPr>
              <w:t>1、水性性电泳涂料：各原材料—酯化—过滤—研磨—检验—包装</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color w:val="000000"/>
                <w:sz w:val="20"/>
                <w:szCs w:val="20"/>
              </w:rPr>
            </w:pPr>
            <w:r>
              <w:rPr>
                <w:rFonts w:hint="eastAsia" w:ascii="宋体"/>
                <w:color w:val="000000"/>
                <w:sz w:val="20"/>
                <w:szCs w:val="20"/>
              </w:rPr>
              <w:t>2、氧化镉：金属镉—熔化—氧化—收尘筛分—检验—包装</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color w:val="000000"/>
                <w:sz w:val="20"/>
                <w:szCs w:val="20"/>
              </w:rPr>
            </w:pPr>
            <w:r>
              <w:rPr>
                <w:rFonts w:hint="eastAsia" w:ascii="宋体"/>
                <w:color w:val="000000"/>
                <w:sz w:val="20"/>
                <w:szCs w:val="20"/>
              </w:rPr>
              <w:t>3、海绵镉：配料—反应釜—浓缩结晶—检验—包装</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4、锌合金：锌锭—熔化—雾化制粉—收集筛分—检验-包装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s="宋体"/>
                <w:lang w:val="en-US" w:eastAsia="zh-CN"/>
              </w:rPr>
              <w:t>酯化/氧化/结晶/雾化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s="宋体"/>
                <w:lang w:val="en-US" w:eastAsia="zh-CN"/>
              </w:rPr>
              <w:t>酯化/氧化/结晶/雾化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bookmarkStart w:id="8" w:name="_GoBack"/>
            <w:r>
              <w:rPr>
                <w:rFonts w:hint="eastAsia" w:ascii="宋体" w:hAnsi="宋体"/>
                <w:color w:val="000000"/>
                <w:spacing w:val="-10"/>
                <w:sz w:val="20"/>
                <w:szCs w:val="20"/>
              </w:rPr>
              <w:t>氧化炉、布袋收集器、引风机、收料槽、振动筛、计量槽、电泳涂料反应釜、电泳涂料中转罐、卧式砂磨机、过滤机、高速搅拌机、电导热油炉、拉缸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color w:val="000000"/>
                <w:sz w:val="20"/>
                <w:szCs w:val="20"/>
                <w:lang w:val="en-US"/>
              </w:rPr>
            </w:pPr>
            <w:r>
              <w:rPr>
                <w:rFonts w:hint="eastAsia" w:ascii="宋体"/>
                <w:color w:val="000000"/>
                <w:sz w:val="20"/>
                <w:szCs w:val="20"/>
              </w:rPr>
              <w:t>监视和测量设备（请简述主要监视和测量设备）：</w:t>
            </w:r>
            <w:r>
              <w:rPr>
                <w:rFonts w:hint="eastAsia"/>
                <w:sz w:val="21"/>
                <w:szCs w:val="21"/>
                <w:lang w:val="en-US" w:eastAsia="zh-CN"/>
              </w:rPr>
              <w:t>分析天平、电子天平、烘箱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sz w:val="21"/>
                <w:szCs w:val="21"/>
                <w:lang w:eastAsia="zh-CN"/>
              </w:rPr>
              <w:t>生产车间</w:t>
            </w:r>
            <w:r>
              <w:rPr>
                <w:rFonts w:hint="eastAsia"/>
                <w:sz w:val="21"/>
                <w:szCs w:val="21"/>
                <w:lang w:val="en-US" w:eastAsia="zh-CN"/>
              </w:rPr>
              <w:t>面积约2000平米，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p>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53</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宋体" w:hAnsi="宋体"/>
          <w:szCs w:val="21"/>
        </w:rPr>
        <w:t>水性电泳涂料、电源材料（氧化镉、海绵镉、锌合金）的生产</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10" w:firstLineChars="100"/>
        <w:rPr>
          <w:b w:val="0"/>
          <w:bCs w:val="0"/>
          <w:sz w:val="21"/>
          <w:szCs w:val="21"/>
        </w:rPr>
      </w:pPr>
    </w:p>
    <w:p>
      <w:pPr>
        <w:spacing w:before="156" w:beforeLines="50" w:after="62" w:afterLines="20" w:line="360" w:lineRule="exact"/>
        <w:ind w:firstLine="210" w:firstLineChars="100"/>
        <w:rPr>
          <w:b w:val="0"/>
          <w:bCs w:val="0"/>
          <w:sz w:val="21"/>
          <w:szCs w:val="21"/>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2020年11月29日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16087B"/>
    <w:rsid w:val="224A6907"/>
    <w:rsid w:val="30F839FD"/>
    <w:rsid w:val="31B42522"/>
    <w:rsid w:val="32E8644B"/>
    <w:rsid w:val="38E377CF"/>
    <w:rsid w:val="4C971B61"/>
    <w:rsid w:val="57B57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2020-12-02T07:35:53Z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