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075" w:tblpY="466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220"/>
        <w:gridCol w:w="1004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4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受审核部门：财务部            主管领导：马彩芹          陪同人员：</w:t>
            </w:r>
            <w:bookmarkStart w:id="0" w:name="_GoBack"/>
            <w:bookmarkEnd w:id="0"/>
            <w:r>
              <w:rPr>
                <w:rFonts w:hint="eastAsia"/>
                <w:szCs w:val="22"/>
                <w:lang w:val="en-US" w:eastAsia="zh-CN"/>
              </w:rPr>
              <w:t>黄蓉玉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7" w:type="dxa"/>
            <w:vMerge w:val="continue"/>
            <w:vAlign w:val="center"/>
          </w:tcPr>
          <w:p/>
        </w:tc>
        <w:tc>
          <w:tcPr>
            <w:tcW w:w="2220" w:type="dxa"/>
            <w:vMerge w:val="continue"/>
            <w:vAlign w:val="center"/>
          </w:tcPr>
          <w:p/>
        </w:tc>
        <w:tc>
          <w:tcPr>
            <w:tcW w:w="1004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审核员：周涛          审核时间：2020.11.26</w:t>
            </w:r>
          </w:p>
        </w:tc>
        <w:tc>
          <w:tcPr>
            <w:tcW w:w="100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7" w:type="dxa"/>
            <w:vMerge w:val="continue"/>
            <w:vAlign w:val="center"/>
          </w:tcPr>
          <w:p/>
        </w:tc>
        <w:tc>
          <w:tcPr>
            <w:tcW w:w="2220" w:type="dxa"/>
            <w:vMerge w:val="continue"/>
            <w:vAlign w:val="center"/>
          </w:tcPr>
          <w:p/>
        </w:tc>
        <w:tc>
          <w:tcPr>
            <w:tcW w:w="1004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QMS:5.3组织的岗位、职责和权限、6.2质量目标、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00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岗位、职责和权限</w:t>
            </w:r>
          </w:p>
        </w:tc>
        <w:tc>
          <w:tcPr>
            <w:tcW w:w="2220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QEO5.3</w:t>
            </w:r>
          </w:p>
        </w:tc>
        <w:tc>
          <w:tcPr>
            <w:tcW w:w="10040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财务部职责：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• 负责公司资金管理，质量、环境及职业健康安全管理体系运行的资金保障；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•负责负责公司财务工作；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•负责公司职业健康、环境体系运行的资金支持；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•负责实施公司财务工作管理，监督各项财务规章制度的执行；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•负责本公司存量资金的管理, 加速资金周转，提高资金使用效益；负责清理往来帐款。</w:t>
            </w:r>
          </w:p>
        </w:tc>
        <w:tc>
          <w:tcPr>
            <w:tcW w:w="1002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目标、方案</w:t>
            </w:r>
          </w:p>
        </w:tc>
        <w:tc>
          <w:tcPr>
            <w:tcW w:w="2220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QEO6.2</w:t>
            </w:r>
          </w:p>
        </w:tc>
        <w:tc>
          <w:tcPr>
            <w:tcW w:w="10040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财务部的目标及考核情况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序号         目标                                      考核结果</w:t>
            </w:r>
          </w:p>
          <w:p>
            <w:pPr>
              <w:pStyle w:val="2"/>
              <w:numPr>
                <w:ilvl w:val="0"/>
                <w:numId w:val="0"/>
              </w:numPr>
              <w:ind w:left="375"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1、资金提供及时率100%                          100%</w:t>
            </w:r>
          </w:p>
          <w:p>
            <w:pPr>
              <w:pStyle w:val="2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 2、</w:t>
            </w:r>
            <w:r>
              <w:rPr>
                <w:rFonts w:hint="eastAsia" w:ascii="宋体" w:hAnsi="宋体"/>
                <w:szCs w:val="21"/>
              </w:rPr>
              <w:t>办公室固废每日一清；</w:t>
            </w:r>
            <w:r>
              <w:rPr>
                <w:rFonts w:hint="eastAsia"/>
                <w:szCs w:val="22"/>
                <w:lang w:val="en-US" w:eastAsia="zh-CN"/>
              </w:rPr>
              <w:t xml:space="preserve">                         每日一清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节能降耗数据统计每季度1次；</w:t>
            </w:r>
            <w:r>
              <w:rPr>
                <w:rFonts w:hint="eastAsia"/>
                <w:szCs w:val="22"/>
                <w:lang w:val="en-US" w:eastAsia="zh-CN"/>
              </w:rPr>
              <w:t xml:space="preserve">                         1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编制：马彩芹                批准/日期：黄蓉玉  2020.09.01</w:t>
            </w:r>
          </w:p>
        </w:tc>
        <w:tc>
          <w:tcPr>
            <w:tcW w:w="1002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环境因素/危险源识别评价</w:t>
            </w:r>
          </w:p>
        </w:tc>
        <w:tc>
          <w:tcPr>
            <w:tcW w:w="2220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2"/>
                <w:lang w:val="en-US" w:eastAsia="zh-CN"/>
              </w:rPr>
              <w:t>EO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/6.1.2</w:t>
            </w:r>
          </w:p>
        </w:tc>
        <w:tc>
          <w:tcPr>
            <w:tcW w:w="10040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编制了《环境因素识别与评价控制程序》，经查基本符合标准要求。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提供《环境因素评价表》，其中涉及财务部包括固废废弃、意外火灾、纸张损耗、资源的消耗等。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可以提供《重要环境因素清单》，其中重要环境因素：火灾发生、固废排放。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评价基本合理。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了职业健康安全危险源识别与评价表，涉及本部门的危险源包括：使用电器不当造成触电，吸烟乱扔烟头导致火灾，上下班途中交通危险，电器短路或使用时间过长散热不良，相关方进厂驾驶员违章驾驶、高空坠落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用LEC法对识别的危险源进行评价，本部门不可接受风险：火灾、触电、车辆伤害，评价基本准确。</w:t>
            </w:r>
          </w:p>
        </w:tc>
        <w:tc>
          <w:tcPr>
            <w:tcW w:w="1002" w:type="dxa"/>
          </w:tcPr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>运行的策划和控制</w:t>
            </w:r>
          </w:p>
        </w:tc>
        <w:tc>
          <w:tcPr>
            <w:tcW w:w="2220" w:type="dxa"/>
          </w:tcPr>
          <w:p>
            <w:pPr>
              <w:pStyle w:val="2"/>
              <w:rPr>
                <w:rFonts w:hint="default" w:ascii="Times New Roman" w:hAnsi="Times New Roman" w:cs="Times New Roman"/>
                <w:color w:val="0000FF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sz w:val="24"/>
                <w:szCs w:val="22"/>
                <w:lang w:val="en-US" w:eastAsia="zh-CN"/>
              </w:rPr>
              <w:t>EO8.1</w:t>
            </w:r>
          </w:p>
        </w:tc>
        <w:tc>
          <w:tcPr>
            <w:tcW w:w="10040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总经理指导办公室组织相关部门对服务实现、环境运行控制所需的过程及子过程的顺序和相互关系进行策划，并对服务提供的过程、重要环境因素有关的运行和活动进行控制，确保管理方针、目标、指标的实现。策划确定下列内容：a）应达到的质量、环境目标、指标要求；b）针对服务确定过程及重要环境因素，并建立销售服务所需要的文件，以及所需提供的资源和设施；c）依据服务实现过程和活动的特点，确定验证、确认、监视、测量和检验需求的活动以及接收准则；d）保存服务实现过程和活动满足规定要求的记录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识别确定已纳入计划或新的开发、新的或修改的活动、产品和服务过程的环境因素：确定这些改变带来的具有、或可能具有重大影响的因素（重要环境因素）并建立控制的记录；确定运行控制的程序或建立新的目标和指标；对涉及到的间接重要环境因素通报给供方及合同方；建立应急准备与相应控制机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公司的环境因素为办公用废纸由回收公司进行回收、硒鼓由供应商进行回收，以旧换新。</w:t>
            </w: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抽查资金经费计划和运用情况：如下图：</w:t>
            </w: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983605" cy="3568700"/>
                  <wp:effectExtent l="0" t="0" r="10795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605" cy="356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Cs w:val="22"/>
                <w:lang w:val="en-US" w:eastAsia="zh-CN"/>
              </w:rPr>
              <w:t>抽查-固体废物处理记录   编号：JL-7.7-03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时间2020.7.10 废纸  1.5Kg 处理方式：物业公司回收。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时间2020.7.15硒鼓  1个 处理方式：供应商以旧换新。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 在风险控制方面策划了：风险和机遇控制程序、环境绩效检测控制程序管理制度、应急准备及响应程序等。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1、查看《环境检查记录表》。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检查时间：2020年8月28日；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检查项目：办公废水、办公固废丢弃、水电消耗、安全检查、一般因素等。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检查情况：销售业务方面没有问题。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检查人员：马彩芹 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1、查环境安全检查情况统计表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检查内容：办公室安全检查、办公室供电系统安全检查、办公室及办公区安全检查等。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检查结果及处理：生产现场安全问题，当即整改。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检查人：马彩芹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检查时间：2020年8月1日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4、查用电安全检查记录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检查时间：2020.9.1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检查内容：用电安全等7项。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检查结果：合格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检查人：马彩芹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5、查体系运行检查记录表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检查内容：疫情期间职业健康安全保护用品（口罩）发放情况、职业健康教育情况、临时用电情况、物品存放、固体废物分类情况、现场垃圾排放情况、办公楼固体废物分类处置情况、灭火器配置情况等。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检查人：马彩芹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检查日期：2020年9月16日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运行策划和控制符合要求；</w:t>
            </w:r>
          </w:p>
        </w:tc>
        <w:tc>
          <w:tcPr>
            <w:tcW w:w="1002" w:type="dxa"/>
          </w:tcPr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2"/>
                <w:lang w:val="en-US" w:eastAsia="zh-CN"/>
              </w:rPr>
              <w:t>应急准备和相应</w:t>
            </w:r>
          </w:p>
        </w:tc>
        <w:tc>
          <w:tcPr>
            <w:tcW w:w="2220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EO8.2</w:t>
            </w:r>
          </w:p>
        </w:tc>
        <w:tc>
          <w:tcPr>
            <w:tcW w:w="1004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参与综合部组织的应急演练，具体见综合部检查表</w:t>
            </w:r>
          </w:p>
        </w:tc>
        <w:tc>
          <w:tcPr>
            <w:tcW w:w="1002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3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115570</wp:posOffset>
          </wp:positionH>
          <wp:positionV relativeFrom="paragraph">
            <wp:posOffset>27940</wp:posOffset>
          </wp:positionV>
          <wp:extent cx="248285" cy="262255"/>
          <wp:effectExtent l="0" t="0" r="31115" b="42545"/>
          <wp:wrapTight wrapText="bothSides">
            <wp:wrapPolygon>
              <wp:start x="3315" y="0"/>
              <wp:lineTo x="0" y="3138"/>
              <wp:lineTo x="0" y="17782"/>
              <wp:lineTo x="4419" y="20920"/>
              <wp:lineTo x="5524" y="20920"/>
              <wp:lineTo x="15468" y="20920"/>
              <wp:lineTo x="16573" y="20920"/>
              <wp:lineTo x="20992" y="16736"/>
              <wp:lineTo x="20992" y="5230"/>
              <wp:lineTo x="16573" y="0"/>
              <wp:lineTo x="3315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85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6A47D2"/>
    <w:rsid w:val="039C7714"/>
    <w:rsid w:val="03D96AE0"/>
    <w:rsid w:val="05C452EA"/>
    <w:rsid w:val="060966F4"/>
    <w:rsid w:val="09341784"/>
    <w:rsid w:val="0A802ED6"/>
    <w:rsid w:val="0BC05367"/>
    <w:rsid w:val="10BC52B0"/>
    <w:rsid w:val="196850DE"/>
    <w:rsid w:val="1AB90925"/>
    <w:rsid w:val="1ADE439B"/>
    <w:rsid w:val="1C6A3D69"/>
    <w:rsid w:val="1E9D20CA"/>
    <w:rsid w:val="205829B9"/>
    <w:rsid w:val="274C5769"/>
    <w:rsid w:val="29780EA2"/>
    <w:rsid w:val="29CE582E"/>
    <w:rsid w:val="2CCD63D4"/>
    <w:rsid w:val="327C3259"/>
    <w:rsid w:val="35742A03"/>
    <w:rsid w:val="37187BB9"/>
    <w:rsid w:val="37A85E10"/>
    <w:rsid w:val="38176BAA"/>
    <w:rsid w:val="3A570272"/>
    <w:rsid w:val="3E187611"/>
    <w:rsid w:val="42E23BB2"/>
    <w:rsid w:val="44EB5918"/>
    <w:rsid w:val="49D34275"/>
    <w:rsid w:val="49D80C11"/>
    <w:rsid w:val="4AF46303"/>
    <w:rsid w:val="4DD342A5"/>
    <w:rsid w:val="4F6E0A3B"/>
    <w:rsid w:val="518C5430"/>
    <w:rsid w:val="546241A1"/>
    <w:rsid w:val="552C0C26"/>
    <w:rsid w:val="55B933CF"/>
    <w:rsid w:val="5697245D"/>
    <w:rsid w:val="57210130"/>
    <w:rsid w:val="597E64C2"/>
    <w:rsid w:val="5BD0174E"/>
    <w:rsid w:val="619E506E"/>
    <w:rsid w:val="62765FD1"/>
    <w:rsid w:val="647E6EBA"/>
    <w:rsid w:val="64D309B9"/>
    <w:rsid w:val="66E4533F"/>
    <w:rsid w:val="6D6C43C4"/>
    <w:rsid w:val="78D626C3"/>
    <w:rsid w:val="7A8E55F9"/>
    <w:rsid w:val="7C977376"/>
    <w:rsid w:val="7F225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2020-11-26T06:53:58Z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