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受审核部门：综合部        主管领导：形英杰           陪同人员：</w:t>
            </w:r>
            <w:r>
              <w:rPr>
                <w:rFonts w:hint="eastAsia" w:cs="Times New Roman"/>
                <w:szCs w:val="22"/>
                <w:lang w:val="en-US" w:eastAsia="zh-CN"/>
              </w:rPr>
              <w:t>黄蓉玉</w:t>
            </w:r>
            <w:bookmarkStart w:id="0" w:name="_GoBack"/>
            <w:bookmarkEnd w:id="0"/>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审核员：周涛          审核时间：2020.11.25</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rPr>
                <w:rFonts w:hint="eastAsia"/>
                <w:sz w:val="24"/>
                <w:szCs w:val="24"/>
              </w:rPr>
            </w:pPr>
            <w:r>
              <w:rPr>
                <w:rFonts w:hint="eastAsia"/>
                <w:sz w:val="24"/>
                <w:szCs w:val="24"/>
              </w:rPr>
              <w:t>审核条款：</w:t>
            </w:r>
          </w:p>
          <w:p>
            <w:pPr>
              <w:spacing w:line="240" w:lineRule="exact"/>
              <w:rPr>
                <w:rFonts w:hint="eastAsia" w:ascii="宋体" w:hAnsi="宋体" w:eastAsia="宋体" w:cs="Arial"/>
                <w:sz w:val="21"/>
                <w:szCs w:val="21"/>
              </w:rPr>
            </w:pPr>
            <w:r>
              <w:rPr>
                <w:rFonts w:hint="eastAsia" w:ascii="宋体" w:hAnsi="宋体" w:eastAsia="宋体" w:cs="Arial"/>
                <w:sz w:val="21"/>
                <w:szCs w:val="21"/>
              </w:rPr>
              <w:t xml:space="preserve">5.3组织的岗位、职责和权限、6.2质量目标、6.3变更的策划7.1.2人员、7.1.6组织知识、7.2能力、7.3意识、7.5.1形成文件的信息总则、7.5.2形成文件的信息的创建和更新、7.5.3形成文件的信息的控制、9.1.3分析与评价、9.2 内部审核、10.2不合格和纠正措施， </w:t>
            </w:r>
          </w:p>
          <w:p>
            <w:pPr>
              <w:spacing w:line="240" w:lineRule="exact"/>
              <w:rPr>
                <w:sz w:val="24"/>
                <w:szCs w:val="24"/>
              </w:rPr>
            </w:pPr>
            <w:r>
              <w:rPr>
                <w:rFonts w:hint="eastAsia" w:ascii="宋体" w:hAnsi="宋体" w:eastAsia="宋体" w:cs="Arial"/>
                <w:sz w:val="21"/>
                <w:szCs w:val="21"/>
              </w:rPr>
              <w:t>E/OMS: 5.3组织的岗位、职责和权限、6.2.1环境/职业健康安全目标、6.2.2实现环境/职业健康安全目标措施的策划7.2能力、7.3意识、7.5.1形成文件的信息总则、7.5.2形成文件的信息的创建和更新、7.5.3形成文件的信息的控制、8.1运行策划和控制、8.2应急准备和响应，9.2 内部审核、10</w:t>
            </w:r>
            <w:r>
              <w:rPr>
                <w:rFonts w:ascii="宋体" w:hAnsi="宋体" w:cs="Arial"/>
                <w:sz w:val="21"/>
                <w:szCs w:val="21"/>
              </w:rPr>
              <w:t>.2</w:t>
            </w:r>
            <w:r>
              <w:rPr>
                <w:rFonts w:hint="eastAsia" w:ascii="宋体" w:hAnsi="宋体" w:cs="Arial"/>
                <w:sz w:val="21"/>
                <w:szCs w:val="21"/>
              </w:rPr>
              <w:t>不符合</w:t>
            </w:r>
            <w:r>
              <w:rPr>
                <w:rFonts w:ascii="宋体" w:hAnsi="宋体" w:cs="Arial"/>
                <w:sz w:val="21"/>
                <w:szCs w:val="21"/>
              </w:rPr>
              <w:t>/</w:t>
            </w:r>
            <w:r>
              <w:rPr>
                <w:rFonts w:hint="eastAsia" w:ascii="宋体" w:hAnsi="宋体" w:cs="Arial"/>
                <w:sz w:val="21"/>
                <w:szCs w:val="21"/>
              </w:rPr>
              <w:t>事件和纠正措施，</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2220" w:type="dxa"/>
          </w:tcPr>
          <w:p>
            <w:pPr>
              <w:pStyle w:val="10"/>
              <w:rPr>
                <w:rFonts w:hint="default"/>
                <w:lang w:val="en-US" w:eastAsia="zh-CN"/>
              </w:rPr>
            </w:pPr>
            <w:r>
              <w:rPr>
                <w:rFonts w:hint="eastAsia"/>
                <w:lang w:val="en-US" w:eastAsia="zh-CN"/>
              </w:rPr>
              <w:t>QEO5.3</w:t>
            </w:r>
          </w:p>
        </w:tc>
        <w:tc>
          <w:tcPr>
            <w:tcW w:w="10040" w:type="dxa"/>
          </w:tcPr>
          <w:p>
            <w:pPr>
              <w:rPr>
                <w:rFonts w:hint="eastAsia"/>
                <w:szCs w:val="22"/>
                <w:lang w:val="en-US" w:eastAsia="zh-CN"/>
              </w:rPr>
            </w:pPr>
            <w:r>
              <w:rPr>
                <w:rFonts w:hint="eastAsia"/>
                <w:szCs w:val="22"/>
                <w:lang w:val="en-US" w:eastAsia="zh-CN"/>
              </w:rPr>
              <w:t>综合部共1人，主任1人。</w:t>
            </w:r>
          </w:p>
          <w:p>
            <w:pPr>
              <w:rPr>
                <w:rFonts w:hint="eastAsia"/>
                <w:szCs w:val="22"/>
                <w:lang w:val="en-US" w:eastAsia="zh-CN"/>
              </w:rPr>
            </w:pPr>
            <w:r>
              <w:rPr>
                <w:rFonts w:hint="eastAsia"/>
                <w:szCs w:val="22"/>
                <w:lang w:val="en-US" w:eastAsia="zh-CN"/>
              </w:rPr>
              <w:t>职责：</w:t>
            </w:r>
          </w:p>
          <w:p>
            <w:pPr>
              <w:rPr>
                <w:rFonts w:hint="eastAsia"/>
                <w:szCs w:val="22"/>
                <w:lang w:val="en-US" w:eastAsia="zh-CN"/>
              </w:rPr>
            </w:pPr>
            <w:r>
              <w:rPr>
                <w:rFonts w:hint="eastAsia"/>
                <w:szCs w:val="22"/>
                <w:lang w:val="en-US" w:eastAsia="zh-CN"/>
              </w:rPr>
              <w:t>• 归口管理质量环境安全管理体系文件、技术标准类文件和其他管理类文件； 负责公司档案的管理工作；负责公司各类资质的申报、文件的管理更新；</w:t>
            </w:r>
          </w:p>
          <w:p>
            <w:pPr>
              <w:rPr>
                <w:rFonts w:hint="eastAsia"/>
                <w:szCs w:val="22"/>
                <w:lang w:val="en-US" w:eastAsia="zh-CN"/>
              </w:rPr>
            </w:pPr>
            <w:r>
              <w:rPr>
                <w:rFonts w:hint="eastAsia"/>
                <w:szCs w:val="22"/>
                <w:lang w:val="en-US" w:eastAsia="zh-CN"/>
              </w:rPr>
              <w:t>• 负责公司人力资源的规划、管理、开发和培训等制度体系的建立、实施和完善；组织专业技术职称评审和技术岗位、特殊岗位上岗资格评审工作等；</w:t>
            </w:r>
          </w:p>
          <w:p>
            <w:pPr>
              <w:rPr>
                <w:rFonts w:hint="eastAsia"/>
                <w:szCs w:val="22"/>
                <w:lang w:val="en-US" w:eastAsia="zh-CN"/>
              </w:rPr>
            </w:pPr>
            <w:r>
              <w:rPr>
                <w:rFonts w:hint="eastAsia"/>
                <w:szCs w:val="22"/>
                <w:lang w:val="en-US" w:eastAsia="zh-CN"/>
              </w:rPr>
              <w:t>•  负责公司总体绩效考核体系的建立、组织、实施和完善；</w:t>
            </w:r>
          </w:p>
          <w:p>
            <w:pPr>
              <w:rPr>
                <w:rFonts w:hint="eastAsia"/>
                <w:szCs w:val="22"/>
                <w:lang w:val="en-US" w:eastAsia="zh-CN"/>
              </w:rPr>
            </w:pPr>
            <w:r>
              <w:rPr>
                <w:rFonts w:hint="eastAsia"/>
                <w:szCs w:val="22"/>
                <w:lang w:val="en-US" w:eastAsia="zh-CN"/>
              </w:rPr>
              <w:t>•  负责质量/环境/职业健康安全管理体系目标分解，负责质量/环境/职业健康安全管理体系运行中的组织、协调、监督、检查工作；</w:t>
            </w:r>
          </w:p>
          <w:p>
            <w:pPr>
              <w:rPr>
                <w:rFonts w:hint="default"/>
                <w:szCs w:val="22"/>
                <w:lang w:val="en-US" w:eastAsia="zh-CN"/>
              </w:rPr>
            </w:pPr>
            <w:r>
              <w:rPr>
                <w:rFonts w:hint="eastAsia"/>
                <w:szCs w:val="22"/>
                <w:lang w:val="en-US" w:eastAsia="zh-CN"/>
              </w:rPr>
              <w:t>• 负责收集整理，并定期更新与本公司业务相关的法律法规及其他要求；</w:t>
            </w:r>
          </w:p>
          <w:p>
            <w:pPr>
              <w:rPr>
                <w:rFonts w:hint="eastAsia"/>
                <w:szCs w:val="22"/>
                <w:lang w:val="en-US" w:eastAsia="zh-CN"/>
              </w:rPr>
            </w:pPr>
            <w:r>
              <w:rPr>
                <w:rFonts w:hint="eastAsia"/>
                <w:szCs w:val="22"/>
                <w:lang w:val="en-US" w:eastAsia="zh-CN"/>
              </w:rPr>
              <w:t>• 负责公司合规性评价、应急准备和响应工作的统一归口管理；</w:t>
            </w:r>
          </w:p>
          <w:p>
            <w:pPr>
              <w:rPr>
                <w:rFonts w:hint="eastAsia"/>
                <w:szCs w:val="22"/>
                <w:lang w:val="en-US" w:eastAsia="zh-CN"/>
              </w:rPr>
            </w:pPr>
            <w:r>
              <w:rPr>
                <w:rFonts w:hint="eastAsia"/>
                <w:szCs w:val="22"/>
                <w:lang w:val="en-US" w:eastAsia="zh-CN"/>
              </w:rPr>
              <w:t>• 负责本部门环境因素和危险源的识别和评价，进行必要的更新；</w:t>
            </w:r>
          </w:p>
          <w:p>
            <w:pPr>
              <w:rPr>
                <w:rFonts w:hint="eastAsia"/>
                <w:szCs w:val="22"/>
                <w:lang w:val="en-US" w:eastAsia="zh-CN"/>
              </w:rPr>
            </w:pPr>
            <w:r>
              <w:rPr>
                <w:rFonts w:hint="eastAsia"/>
                <w:szCs w:val="22"/>
                <w:lang w:val="en-US" w:eastAsia="zh-CN"/>
              </w:rPr>
              <w:t>• 负责本部门应急准备和响应计划落实及应急情况的善后处理，包括本部门应急准备的物资管理。</w:t>
            </w:r>
          </w:p>
          <w:p>
            <w:pPr>
              <w:rPr>
                <w:rFonts w:hint="default"/>
                <w:szCs w:val="22"/>
                <w:lang w:val="en-US" w:eastAsia="zh-CN"/>
              </w:rPr>
            </w:pPr>
            <w:r>
              <w:rPr>
                <w:rFonts w:hint="eastAsia"/>
                <w:szCs w:val="22"/>
                <w:lang w:val="en-US" w:eastAsia="zh-CN"/>
              </w:rPr>
              <w:t>•  负责检测检定服务管理的日常检查工作，负责办公设备及用品的采购、验收及日常的维护和维修。</w:t>
            </w:r>
          </w:p>
        </w:tc>
        <w:tc>
          <w:tcPr>
            <w:tcW w:w="1002" w:type="dxa"/>
          </w:tcPr>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eastAsia="宋体"/>
                <w:lang w:val="en-US" w:eastAsia="zh-CN"/>
              </w:rPr>
            </w:pPr>
            <w:r>
              <w:rPr>
                <w:rFonts w:hint="eastAsia"/>
              </w:rPr>
              <w:t>目标及其实现的策划</w:t>
            </w:r>
          </w:p>
        </w:tc>
        <w:tc>
          <w:tcPr>
            <w:tcW w:w="2220" w:type="dxa"/>
          </w:tcPr>
          <w:p>
            <w:pPr>
              <w:pStyle w:val="10"/>
              <w:rPr>
                <w:rFonts w:hint="default"/>
                <w:lang w:val="en-US" w:eastAsia="zh-CN"/>
              </w:rPr>
            </w:pPr>
            <w:r>
              <w:rPr>
                <w:rFonts w:hint="eastAsia"/>
                <w:lang w:val="en-US" w:eastAsia="zh-CN"/>
              </w:rPr>
              <w:t>QEO6.2</w:t>
            </w:r>
          </w:p>
        </w:tc>
        <w:tc>
          <w:tcPr>
            <w:tcW w:w="10040" w:type="dxa"/>
          </w:tcPr>
          <w:p>
            <w:pPr>
              <w:rPr>
                <w:rFonts w:hint="eastAsia"/>
                <w:lang w:val="en-US" w:eastAsia="zh-CN"/>
              </w:rPr>
            </w:pPr>
            <w:r>
              <w:rPr>
                <w:rFonts w:hint="eastAsia"/>
                <w:lang w:val="en-US" w:eastAsia="zh-CN"/>
              </w:rPr>
              <w:t>综合部的管理目标及考核情况：</w:t>
            </w:r>
          </w:p>
          <w:p>
            <w:pPr>
              <w:jc w:val="both"/>
              <w:rPr>
                <w:rFonts w:hint="eastAsia" w:ascii="Times New Roman" w:hAnsi="Times New Roman" w:cs="Times New Roman"/>
                <w:szCs w:val="21"/>
                <w:lang w:val="en-US" w:eastAsia="zh-CN"/>
              </w:rPr>
            </w:pPr>
            <w:r>
              <w:rPr>
                <w:rFonts w:hint="eastAsia" w:cs="Times New Roman"/>
                <w:szCs w:val="21"/>
                <w:lang w:val="en-US" w:eastAsia="zh-CN"/>
              </w:rPr>
              <w:t>综合部</w:t>
            </w:r>
            <w:r>
              <w:rPr>
                <w:rFonts w:hint="eastAsia" w:ascii="Times New Roman" w:hAnsi="Times New Roman" w:cs="Times New Roman"/>
                <w:szCs w:val="21"/>
                <w:lang w:val="en-US" w:eastAsia="zh-CN"/>
              </w:rPr>
              <w:t>：</w:t>
            </w:r>
          </w:p>
          <w:p>
            <w:pPr>
              <w:pStyle w:val="10"/>
              <w:rPr>
                <w:rFonts w:hint="default"/>
                <w:lang w:val="en-US" w:eastAsia="zh-CN"/>
              </w:rPr>
            </w:pPr>
            <w:r>
              <w:rPr>
                <w:rFonts w:hint="eastAsia" w:cs="Times New Roman"/>
                <w:szCs w:val="21"/>
                <w:lang w:val="en-US" w:eastAsia="zh-CN"/>
              </w:rPr>
              <w:t>1、文件发放准确率100%                             100%</w:t>
            </w:r>
          </w:p>
          <w:p>
            <w:pPr>
              <w:jc w:val="both"/>
              <w:rPr>
                <w:rFonts w:hint="eastAsia" w:ascii="Times New Roman" w:hAnsi="Times New Roman" w:eastAsia="宋体" w:cs="Times New Roman"/>
                <w:bCs/>
                <w:spacing w:val="10"/>
                <w:kern w:val="2"/>
                <w:sz w:val="21"/>
                <w:szCs w:val="21"/>
                <w:lang w:val="en-US" w:eastAsia="zh-CN" w:bidi="ar-SA"/>
              </w:rPr>
            </w:pPr>
            <w:r>
              <w:rPr>
                <w:rFonts w:hint="eastAsia" w:cs="Times New Roman"/>
                <w:szCs w:val="21"/>
                <w:lang w:val="en-US" w:eastAsia="zh-CN"/>
              </w:rPr>
              <w:t>2</w:t>
            </w:r>
            <w:r>
              <w:rPr>
                <w:rFonts w:hint="eastAsia" w:cs="Times New Roman"/>
                <w:color w:val="FF0000"/>
                <w:szCs w:val="21"/>
                <w:lang w:val="en-US" w:eastAsia="zh-CN"/>
              </w:rPr>
              <w:t>、</w:t>
            </w:r>
            <w:r>
              <w:rPr>
                <w:rFonts w:hint="eastAsia" w:ascii="Times New Roman" w:hAnsi="Times New Roman" w:eastAsia="宋体" w:cs="Times New Roman"/>
                <w:bCs/>
                <w:spacing w:val="10"/>
                <w:kern w:val="2"/>
                <w:sz w:val="21"/>
                <w:szCs w:val="21"/>
                <w:lang w:val="en-US" w:eastAsia="zh-CN" w:bidi="ar-SA"/>
              </w:rPr>
              <w:t>培训合格率≥95% ；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3、培训计划完成率100%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4、固废处理合格率100%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5、职业健康安全合格率100%                         100%</w:t>
            </w:r>
          </w:p>
          <w:p>
            <w:pPr>
              <w:pStyle w:val="10"/>
              <w:rPr>
                <w:rFonts w:hint="eastAsia" w:ascii="Times New Roman" w:hAnsi="Times New Roman" w:eastAsia="宋体" w:cs="Times New Roman"/>
                <w:bCs/>
                <w:spacing w:val="10"/>
                <w:kern w:val="2"/>
                <w:sz w:val="21"/>
                <w:szCs w:val="21"/>
                <w:lang w:val="en-US" w:eastAsia="zh-CN" w:bidi="ar-SA"/>
              </w:rPr>
            </w:pPr>
          </w:p>
          <w:p>
            <w:pPr>
              <w:pStyle w:val="10"/>
              <w:ind w:firstLine="1150" w:firstLineChars="500"/>
              <w:rPr>
                <w:rFonts w:hint="default"/>
                <w:lang w:val="en-US" w:eastAsia="zh-CN"/>
              </w:rPr>
            </w:pPr>
            <w:r>
              <w:rPr>
                <w:rFonts w:hint="eastAsia" w:ascii="Times New Roman" w:hAnsi="Times New Roman" w:eastAsia="宋体" w:cs="Times New Roman"/>
                <w:bCs/>
                <w:spacing w:val="10"/>
                <w:kern w:val="2"/>
                <w:sz w:val="21"/>
                <w:szCs w:val="21"/>
                <w:lang w:val="en-US" w:eastAsia="zh-CN" w:bidi="ar-SA"/>
              </w:rPr>
              <w:t>考核期：2020年07月-09 月        考核人：黄蓉玉</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rPr>
            </w:pPr>
            <w:r>
              <w:rPr>
                <w:rFonts w:hint="eastAsia" w:ascii="宋体" w:hAnsi="宋体" w:cs="Arial"/>
                <w:sz w:val="21"/>
                <w:szCs w:val="21"/>
              </w:rPr>
              <w:t>变更的策划</w:t>
            </w:r>
          </w:p>
        </w:tc>
        <w:tc>
          <w:tcPr>
            <w:tcW w:w="2220" w:type="dxa"/>
          </w:tcPr>
          <w:p>
            <w:pPr>
              <w:pStyle w:val="10"/>
              <w:rPr>
                <w:rFonts w:hint="default"/>
                <w:lang w:val="en-US" w:eastAsia="zh-CN"/>
              </w:rPr>
            </w:pPr>
            <w:r>
              <w:rPr>
                <w:rFonts w:hint="eastAsia"/>
                <w:lang w:val="en-US" w:eastAsia="zh-CN"/>
              </w:rPr>
              <w:t>Q6.3</w:t>
            </w:r>
          </w:p>
        </w:tc>
        <w:tc>
          <w:tcPr>
            <w:tcW w:w="10040" w:type="dxa"/>
          </w:tcPr>
          <w:p>
            <w:pPr>
              <w:ind w:firstLine="420" w:firstLineChars="200"/>
              <w:rPr>
                <w:rFonts w:hint="eastAsia"/>
                <w:b w:val="0"/>
                <w:bCs/>
                <w:szCs w:val="22"/>
              </w:rPr>
            </w:pPr>
            <w:r>
              <w:rPr>
                <w:rFonts w:hint="eastAsia"/>
                <w:b w:val="0"/>
                <w:bCs/>
                <w:szCs w:val="22"/>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ind w:firstLine="420" w:firstLineChars="200"/>
              <w:rPr>
                <w:rFonts w:hint="eastAsia"/>
                <w:b w:val="0"/>
                <w:bCs/>
                <w:szCs w:val="22"/>
              </w:rPr>
            </w:pPr>
            <w:r>
              <w:rPr>
                <w:rFonts w:hint="eastAsia"/>
                <w:b w:val="0"/>
                <w:bCs/>
                <w:szCs w:val="22"/>
              </w:rPr>
              <w:t>企业有充分识别识别潜在的变更需求，并确保在必要时做出相应的变更。</w:t>
            </w:r>
          </w:p>
          <w:p>
            <w:pPr>
              <w:ind w:firstLine="420" w:firstLineChars="200"/>
              <w:rPr>
                <w:rFonts w:hint="eastAsia"/>
                <w:b w:val="0"/>
                <w:bCs/>
                <w:szCs w:val="22"/>
              </w:rPr>
            </w:pPr>
            <w:r>
              <w:rPr>
                <w:rFonts w:hint="eastAsia"/>
                <w:b w:val="0"/>
                <w:bCs/>
                <w:szCs w:val="22"/>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pPr>
              <w:pStyle w:val="10"/>
              <w:rPr>
                <w:rFonts w:hint="eastAsia"/>
                <w:szCs w:val="21"/>
                <w:lang w:val="en-US" w:eastAsia="zh-CN"/>
              </w:rPr>
            </w:pPr>
            <w:r>
              <w:rPr>
                <w:rFonts w:hint="eastAsia"/>
                <w:b w:val="0"/>
                <w:bCs/>
                <w:szCs w:val="22"/>
              </w:rPr>
              <w:t>体系运行以来，暂无变更情况发生。</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人员</w:t>
            </w:r>
          </w:p>
        </w:tc>
        <w:tc>
          <w:tcPr>
            <w:tcW w:w="2220" w:type="dxa"/>
          </w:tcPr>
          <w:p>
            <w:pPr>
              <w:pStyle w:val="10"/>
              <w:rPr>
                <w:rFonts w:hint="default"/>
                <w:lang w:val="en-US" w:eastAsia="zh-CN"/>
              </w:rPr>
            </w:pPr>
            <w:r>
              <w:rPr>
                <w:rFonts w:hint="eastAsia"/>
                <w:lang w:val="en-US" w:eastAsia="zh-CN"/>
              </w:rPr>
              <w:t>Q7.1.2</w:t>
            </w:r>
          </w:p>
        </w:tc>
        <w:tc>
          <w:tcPr>
            <w:tcW w:w="10040" w:type="dxa"/>
          </w:tcPr>
          <w:p>
            <w:pPr>
              <w:rPr>
                <w:rFonts w:hint="eastAsia"/>
                <w:lang w:val="en-US" w:eastAsia="zh-CN"/>
              </w:rPr>
            </w:pPr>
            <w:r>
              <w:rPr>
                <w:rFonts w:hint="eastAsia"/>
                <w:lang w:val="en-US" w:eastAsia="zh-CN"/>
              </w:rPr>
              <w:t>全公司共20人，其中：管理层5人、综合部1人、检测部11人、技术质量部1人、收发室1人、财务部1人：</w:t>
            </w:r>
          </w:p>
          <w:p>
            <w:pPr>
              <w:rPr>
                <w:rFonts w:hint="eastAsia"/>
                <w:lang w:val="en-US" w:eastAsia="zh-CN"/>
              </w:rPr>
            </w:pPr>
            <w:r>
              <w:rPr>
                <w:rFonts w:hint="eastAsia"/>
                <w:lang w:val="en-US" w:eastAsia="zh-CN"/>
              </w:rPr>
              <w:t>提供有《主要岗位人员能力评价表》，对主要管理人员进行了规定和评价。</w:t>
            </w:r>
          </w:p>
          <w:p>
            <w:pPr>
              <w:rPr>
                <w:rFonts w:hint="default"/>
                <w:lang w:val="en-US" w:eastAsia="zh-CN"/>
              </w:rPr>
            </w:pPr>
            <w:r>
              <w:rPr>
                <w:rFonts w:hint="eastAsia"/>
                <w:lang w:val="en-US" w:eastAsia="zh-CN"/>
              </w:rPr>
              <w:t>具有检验检测专业证书的15人，人员资质满足要求。</w:t>
            </w:r>
          </w:p>
          <w:p>
            <w:pPr>
              <w:rPr>
                <w:rFonts w:hint="eastAsia"/>
                <w:lang w:val="en-US" w:eastAsia="zh-CN"/>
              </w:rPr>
            </w:pPr>
            <w:r>
              <w:rPr>
                <w:rFonts w:hint="eastAsia"/>
                <w:lang w:val="en-US" w:eastAsia="zh-CN"/>
              </w:rPr>
              <w:t>评价人：黄蓉玉   时间评价日期： 2020.7.15</w:t>
            </w:r>
          </w:p>
          <w:p>
            <w:pPr>
              <w:rPr>
                <w:rFonts w:hint="eastAsia"/>
                <w:lang w:val="en-US" w:eastAsia="zh-CN"/>
              </w:rPr>
            </w:pPr>
            <w:r>
              <w:rPr>
                <w:rFonts w:hint="eastAsia"/>
                <w:lang w:val="en-US" w:eastAsia="zh-CN"/>
              </w:rPr>
              <w:t>人员配备符合标准要求。</w:t>
            </w:r>
          </w:p>
          <w:p>
            <w:pPr>
              <w:pStyle w:val="2"/>
              <w:rPr>
                <w:rFonts w:hint="eastAsia"/>
                <w:lang w:val="en-US" w:eastAsia="zh-CN"/>
              </w:rPr>
            </w:pPr>
          </w:p>
          <w:p>
            <w:pPr>
              <w:rPr>
                <w:rFonts w:hint="eastAsia"/>
                <w:lang w:val="en-US" w:eastAsia="zh-CN"/>
              </w:rPr>
            </w:pPr>
          </w:p>
        </w:tc>
        <w:tc>
          <w:tcPr>
            <w:tcW w:w="1002"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eastAsia="宋体"/>
                <w:lang w:val="en-US" w:eastAsia="zh-CN"/>
              </w:rPr>
            </w:pPr>
            <w:r>
              <w:rPr>
                <w:rFonts w:hint="eastAsia"/>
              </w:rPr>
              <w:t>7.1.6组织的知识</w:t>
            </w:r>
          </w:p>
        </w:tc>
        <w:tc>
          <w:tcPr>
            <w:tcW w:w="2220" w:type="dxa"/>
          </w:tcPr>
          <w:p>
            <w:pPr>
              <w:pStyle w:val="10"/>
              <w:rPr>
                <w:rFonts w:hint="default"/>
                <w:lang w:val="en-US" w:eastAsia="zh-CN"/>
              </w:rPr>
            </w:pPr>
            <w:r>
              <w:rPr>
                <w:rFonts w:hint="eastAsia"/>
                <w:lang w:val="en-US" w:eastAsia="zh-CN"/>
              </w:rPr>
              <w:t>Q7.1.6</w:t>
            </w:r>
          </w:p>
        </w:tc>
        <w:tc>
          <w:tcPr>
            <w:tcW w:w="10040" w:type="dxa"/>
            <w:vAlign w:val="top"/>
          </w:tcPr>
          <w:p>
            <w:pPr>
              <w:pStyle w:val="15"/>
              <w:spacing w:line="360" w:lineRule="exact"/>
              <w:ind w:firstLine="0" w:firstLineChars="0"/>
              <w:jc w:val="left"/>
              <w:rPr>
                <w:rFonts w:hint="eastAsia" w:ascii="宋体" w:hAnsi="宋体" w:cs="Times New Roman"/>
                <w:szCs w:val="21"/>
                <w:lang w:val="en-US" w:eastAsia="zh-CN"/>
              </w:rPr>
            </w:pPr>
            <w:r>
              <w:rPr>
                <w:rFonts w:hint="eastAsia" w:ascii="宋体" w:hAnsi="宋体" w:cs="Times New Roman"/>
                <w:szCs w:val="21"/>
                <w:lang w:val="en-US" w:eastAsia="zh-CN"/>
              </w:rPr>
              <w:t>抽查《知识管理清单》有9项知识清单：</w:t>
            </w:r>
          </w:p>
          <w:tbl>
            <w:tblPr>
              <w:tblStyle w:val="7"/>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875"/>
              <w:gridCol w:w="1387"/>
              <w:gridCol w:w="1170"/>
              <w:gridCol w:w="139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2"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cs="Tahoma"/>
                      <w:color w:val="333333"/>
                      <w:sz w:val="21"/>
                      <w:szCs w:val="18"/>
                    </w:rPr>
                    <w:t>知识载体</w:t>
                  </w:r>
                </w:p>
              </w:tc>
              <w:tc>
                <w:tcPr>
                  <w:tcW w:w="1875"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sz w:val="21"/>
                      <w:szCs w:val="18"/>
                    </w:rPr>
                    <w:t>知识类别</w:t>
                  </w:r>
                </w:p>
              </w:tc>
              <w:tc>
                <w:tcPr>
                  <w:tcW w:w="1387"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sz w:val="21"/>
                      <w:szCs w:val="18"/>
                    </w:rPr>
                    <w:t>主要知识点</w:t>
                  </w:r>
                </w:p>
              </w:tc>
              <w:tc>
                <w:tcPr>
                  <w:tcW w:w="1170"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sz w:val="21"/>
                      <w:szCs w:val="18"/>
                    </w:rPr>
                    <w:t>应用场所</w:t>
                  </w:r>
                </w:p>
              </w:tc>
              <w:tc>
                <w:tcPr>
                  <w:tcW w:w="1390"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sz w:val="21"/>
                      <w:szCs w:val="18"/>
                    </w:rPr>
                    <w:t>适用性评估</w:t>
                  </w:r>
                </w:p>
              </w:tc>
              <w:tc>
                <w:tcPr>
                  <w:tcW w:w="2171" w:type="dxa"/>
                  <w:noWrap w:val="0"/>
                  <w:vAlign w:val="top"/>
                </w:tcPr>
                <w:p>
                  <w:pPr>
                    <w:adjustRightInd w:val="0"/>
                    <w:snapToGrid w:val="0"/>
                    <w:spacing w:line="300" w:lineRule="exact"/>
                    <w:jc w:val="center"/>
                    <w:rPr>
                      <w:rFonts w:hint="eastAsia" w:ascii="宋体" w:hAnsi="宋体"/>
                      <w:sz w:val="21"/>
                      <w:szCs w:val="18"/>
                    </w:rPr>
                  </w:pPr>
                  <w:r>
                    <w:rPr>
                      <w:rFonts w:hint="eastAsia" w:ascii="宋体" w:hAnsi="宋体" w:cs="Tahoma"/>
                      <w:color w:val="333333"/>
                      <w:sz w:val="21"/>
                      <w:szCs w:val="18"/>
                    </w:rPr>
                    <w:t>内部沟通或应用方式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92" w:type="dxa"/>
                  <w:noWrap w:val="0"/>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lang w:val="en-US" w:eastAsia="zh-CN"/>
                    </w:rPr>
                    <w:t>文件</w:t>
                  </w:r>
                  <w:r>
                    <w:rPr>
                      <w:rFonts w:hint="eastAsia" w:ascii="宋体" w:hAnsi="宋体"/>
                      <w:sz w:val="18"/>
                      <w:szCs w:val="18"/>
                      <w:lang w:eastAsia="zh-CN"/>
                    </w:rPr>
                    <w:t>、</w:t>
                  </w:r>
                  <w:r>
                    <w:rPr>
                      <w:rFonts w:hint="eastAsia" w:ascii="宋体" w:hAnsi="宋体"/>
                      <w:sz w:val="18"/>
                      <w:szCs w:val="18"/>
                    </w:rPr>
                    <w:t>报刊、网站等</w:t>
                  </w:r>
                </w:p>
              </w:tc>
              <w:tc>
                <w:tcPr>
                  <w:tcW w:w="1875"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lang w:val="en-US" w:eastAsia="zh-CN"/>
                    </w:rPr>
                    <w:t>检验检测</w:t>
                  </w:r>
                  <w:r>
                    <w:rPr>
                      <w:rFonts w:hint="eastAsia" w:ascii="宋体" w:hAnsi="宋体"/>
                      <w:sz w:val="18"/>
                      <w:szCs w:val="18"/>
                    </w:rPr>
                    <w:t>技术服务企业安全生产管理人员考核、</w:t>
                  </w:r>
                  <w:r>
                    <w:rPr>
                      <w:rFonts w:hint="eastAsia" w:ascii="宋体" w:hAnsi="宋体"/>
                      <w:sz w:val="18"/>
                      <w:szCs w:val="18"/>
                      <w:lang w:val="en-US" w:eastAsia="zh-CN"/>
                    </w:rPr>
                    <w:t>全</w:t>
                  </w:r>
                  <w:r>
                    <w:rPr>
                      <w:rFonts w:hint="eastAsia" w:ascii="宋体" w:hAnsi="宋体"/>
                      <w:sz w:val="18"/>
                      <w:szCs w:val="18"/>
                    </w:rPr>
                    <w:t>员继续教育培训</w:t>
                  </w:r>
                </w:p>
              </w:tc>
              <w:tc>
                <w:tcPr>
                  <w:tcW w:w="1387" w:type="dxa"/>
                  <w:noWrap w:val="0"/>
                  <w:vAlign w:val="center"/>
                </w:tcPr>
                <w:p>
                  <w:pPr>
                    <w:adjustRightInd w:val="0"/>
                    <w:snapToGrid w:val="0"/>
                    <w:spacing w:line="300" w:lineRule="exact"/>
                    <w:rPr>
                      <w:rFonts w:hint="default" w:ascii="宋体" w:hAnsi="宋体"/>
                      <w:sz w:val="18"/>
                      <w:szCs w:val="18"/>
                      <w:lang w:val="en-US"/>
                    </w:rPr>
                  </w:pPr>
                  <w:r>
                    <w:rPr>
                      <w:rFonts w:hint="eastAsia" w:ascii="宋体" w:hAnsi="宋体"/>
                      <w:sz w:val="18"/>
                      <w:szCs w:val="18"/>
                      <w:lang w:val="en-US" w:eastAsia="zh-CN"/>
                    </w:rPr>
                    <w:t>管理要求、安全要求</w:t>
                  </w:r>
                </w:p>
              </w:tc>
              <w:tc>
                <w:tcPr>
                  <w:tcW w:w="1170" w:type="dxa"/>
                  <w:noWrap w:val="0"/>
                  <w:vAlign w:val="center"/>
                </w:tcPr>
                <w:p>
                  <w:pPr>
                    <w:adjustRightInd w:val="0"/>
                    <w:snapToGrid w:val="0"/>
                    <w:spacing w:line="300" w:lineRule="exact"/>
                    <w:jc w:val="center"/>
                    <w:rPr>
                      <w:rFonts w:hint="eastAsia" w:ascii="宋体" w:hAnsi="宋体" w:eastAsia="宋体"/>
                      <w:sz w:val="18"/>
                      <w:szCs w:val="18"/>
                      <w:lang w:eastAsia="zh-CN"/>
                    </w:rPr>
                  </w:pPr>
                  <w:r>
                    <w:rPr>
                      <w:rFonts w:hint="eastAsia" w:ascii="宋体" w:hAnsi="宋体"/>
                      <w:sz w:val="18"/>
                      <w:szCs w:val="18"/>
                      <w:lang w:val="en-US" w:eastAsia="zh-CN"/>
                    </w:rPr>
                    <w:t>检验检测</w:t>
                  </w:r>
                  <w:r>
                    <w:rPr>
                      <w:rFonts w:hint="eastAsia" w:ascii="宋体" w:hAnsi="宋体"/>
                      <w:sz w:val="18"/>
                      <w:szCs w:val="18"/>
                    </w:rPr>
                    <w:t>技术服务</w:t>
                  </w:r>
                  <w:r>
                    <w:rPr>
                      <w:rFonts w:hint="eastAsia" w:ascii="宋体" w:hAnsi="宋体"/>
                      <w:sz w:val="18"/>
                      <w:szCs w:val="18"/>
                      <w:lang w:val="en-US" w:eastAsia="zh-CN"/>
                    </w:rPr>
                    <w:t>过程</w:t>
                  </w:r>
                </w:p>
              </w:tc>
              <w:tc>
                <w:tcPr>
                  <w:tcW w:w="139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适用</w:t>
                  </w:r>
                </w:p>
              </w:tc>
              <w:tc>
                <w:tcPr>
                  <w:tcW w:w="2171" w:type="dxa"/>
                  <w:noWrap w:val="0"/>
                  <w:vAlign w:val="center"/>
                </w:tcPr>
                <w:p>
                  <w:pPr>
                    <w:adjustRightInd w:val="0"/>
                    <w:snapToGrid w:val="0"/>
                    <w:spacing w:line="300" w:lineRule="exact"/>
                    <w:rPr>
                      <w:rFonts w:hint="default" w:ascii="宋体" w:hAnsi="宋体"/>
                      <w:sz w:val="18"/>
                      <w:szCs w:val="18"/>
                      <w:lang w:val="en-US" w:eastAsia="zh-CN"/>
                    </w:rPr>
                  </w:pPr>
                  <w:r>
                    <w:rPr>
                      <w:rFonts w:hint="eastAsia" w:ascii="宋体" w:hAnsi="宋体"/>
                      <w:sz w:val="18"/>
                      <w:szCs w:val="18"/>
                      <w:lang w:val="en-US" w:eastAsia="zh-CN"/>
                    </w:rPr>
                    <w:t>电话和文件传输</w:t>
                  </w:r>
                </w:p>
                <w:p>
                  <w:pPr>
                    <w:adjustRightInd w:val="0"/>
                    <w:snapToGrid w:val="0"/>
                    <w:spacing w:line="300" w:lineRule="exact"/>
                    <w:rPr>
                      <w:rFonts w:hint="eastAsia" w:ascii="宋体" w:hAnsi="宋体"/>
                      <w:sz w:val="18"/>
                      <w:szCs w:val="18"/>
                    </w:rPr>
                  </w:pPr>
                  <w:r>
                    <w:rPr>
                      <w:rFonts w:hint="eastAsia" w:ascii="宋体" w:hAnsi="宋体"/>
                      <w:sz w:val="18"/>
                      <w:szCs w:val="18"/>
                    </w:rPr>
                    <w:t>纳入外来文件及内部培训计划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92"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材料介绍或资料</w:t>
                  </w:r>
                </w:p>
              </w:tc>
              <w:tc>
                <w:tcPr>
                  <w:tcW w:w="1875"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材料及设备的使用知识及说明（MSDS）</w:t>
                  </w:r>
                </w:p>
              </w:tc>
              <w:tc>
                <w:tcPr>
                  <w:tcW w:w="1387"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rPr>
                    <w:t>材料型号及用途</w:t>
                  </w:r>
                  <w:r>
                    <w:rPr>
                      <w:rFonts w:hint="eastAsia" w:ascii="宋体" w:hAnsi="宋体"/>
                      <w:sz w:val="18"/>
                      <w:szCs w:val="18"/>
                      <w:lang w:val="en-US" w:eastAsia="zh-CN"/>
                    </w:rPr>
                    <w:t>产品或设备的智联要求或标准</w:t>
                  </w:r>
                </w:p>
              </w:tc>
              <w:tc>
                <w:tcPr>
                  <w:tcW w:w="1170" w:type="dxa"/>
                  <w:noWrap w:val="0"/>
                  <w:vAlign w:val="center"/>
                </w:tcPr>
                <w:p>
                  <w:pPr>
                    <w:jc w:val="center"/>
                  </w:pPr>
                  <w:r>
                    <w:rPr>
                      <w:rFonts w:hint="eastAsia" w:ascii="宋体" w:hAnsi="宋体"/>
                      <w:sz w:val="18"/>
                      <w:szCs w:val="18"/>
                      <w:lang w:val="en-US" w:eastAsia="zh-CN"/>
                    </w:rPr>
                    <w:t>检验检测</w:t>
                  </w:r>
                  <w:r>
                    <w:rPr>
                      <w:rFonts w:hint="eastAsia" w:ascii="宋体" w:hAnsi="宋体"/>
                      <w:sz w:val="18"/>
                      <w:szCs w:val="18"/>
                    </w:rPr>
                    <w:t>技术服务</w:t>
                  </w:r>
                  <w:r>
                    <w:rPr>
                      <w:rFonts w:hint="eastAsia" w:ascii="宋体" w:hAnsi="宋体"/>
                      <w:sz w:val="18"/>
                      <w:szCs w:val="18"/>
                      <w:lang w:val="en-US" w:eastAsia="zh-CN"/>
                    </w:rPr>
                    <w:t>过程</w:t>
                  </w:r>
                </w:p>
              </w:tc>
              <w:tc>
                <w:tcPr>
                  <w:tcW w:w="139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适用</w:t>
                  </w:r>
                </w:p>
              </w:tc>
              <w:tc>
                <w:tcPr>
                  <w:tcW w:w="2171"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文件发放、工作间的沟通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92" w:type="dxa"/>
                  <w:noWrap w:val="0"/>
                  <w:vAlign w:val="center"/>
                </w:tcPr>
                <w:p>
                  <w:pPr>
                    <w:adjustRightInd w:val="0"/>
                    <w:snapToGrid w:val="0"/>
                    <w:spacing w:line="300" w:lineRule="exact"/>
                    <w:rPr>
                      <w:rFonts w:hint="eastAsia" w:ascii="宋体" w:hAnsi="宋体" w:eastAsia="宋体"/>
                      <w:sz w:val="18"/>
                      <w:szCs w:val="18"/>
                      <w:lang w:eastAsia="zh-CN"/>
                    </w:rPr>
                  </w:pPr>
                  <w:r>
                    <w:rPr>
                      <w:rFonts w:hint="eastAsia" w:ascii="宋体" w:hAnsi="宋体"/>
                      <w:sz w:val="18"/>
                      <w:szCs w:val="18"/>
                      <w:lang w:val="en-US" w:eastAsia="zh-CN"/>
                    </w:rPr>
                    <w:t>技术服务合同</w:t>
                  </w:r>
                </w:p>
              </w:tc>
              <w:tc>
                <w:tcPr>
                  <w:tcW w:w="1875"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行业发展趋势、变化情况</w:t>
                  </w:r>
                </w:p>
              </w:tc>
              <w:tc>
                <w:tcPr>
                  <w:tcW w:w="1387"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新要求、证书要求</w:t>
                  </w:r>
                </w:p>
              </w:tc>
              <w:tc>
                <w:tcPr>
                  <w:tcW w:w="1170" w:type="dxa"/>
                  <w:noWrap w:val="0"/>
                  <w:vAlign w:val="center"/>
                </w:tcPr>
                <w:p>
                  <w:pPr>
                    <w:jc w:val="center"/>
                  </w:pPr>
                  <w:r>
                    <w:rPr>
                      <w:rFonts w:hint="eastAsia" w:ascii="宋体" w:hAnsi="宋体"/>
                      <w:sz w:val="18"/>
                      <w:szCs w:val="18"/>
                      <w:lang w:val="en-US" w:eastAsia="zh-CN"/>
                    </w:rPr>
                    <w:t>检验检测</w:t>
                  </w:r>
                  <w:r>
                    <w:rPr>
                      <w:rFonts w:hint="eastAsia" w:ascii="宋体" w:hAnsi="宋体"/>
                      <w:sz w:val="18"/>
                      <w:szCs w:val="18"/>
                    </w:rPr>
                    <w:t>技术服务</w:t>
                  </w:r>
                  <w:r>
                    <w:rPr>
                      <w:rFonts w:hint="eastAsia" w:ascii="宋体" w:hAnsi="宋体"/>
                      <w:sz w:val="18"/>
                      <w:szCs w:val="18"/>
                      <w:lang w:val="en-US" w:eastAsia="zh-CN"/>
                    </w:rPr>
                    <w:t>过程</w:t>
                  </w:r>
                </w:p>
              </w:tc>
              <w:tc>
                <w:tcPr>
                  <w:tcW w:w="139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根据业主</w:t>
                  </w:r>
                </w:p>
                <w:p>
                  <w:pPr>
                    <w:adjustRightInd w:val="0"/>
                    <w:snapToGrid w:val="0"/>
                    <w:spacing w:line="300" w:lineRule="exact"/>
                    <w:jc w:val="center"/>
                    <w:rPr>
                      <w:rFonts w:hint="eastAsia" w:ascii="宋体" w:hAnsi="宋体"/>
                      <w:sz w:val="18"/>
                      <w:szCs w:val="18"/>
                    </w:rPr>
                  </w:pPr>
                  <w:r>
                    <w:rPr>
                      <w:rFonts w:hint="eastAsia" w:ascii="宋体" w:hAnsi="宋体"/>
                      <w:sz w:val="18"/>
                      <w:szCs w:val="18"/>
                    </w:rPr>
                    <w:t>需要处理</w:t>
                  </w:r>
                </w:p>
              </w:tc>
              <w:tc>
                <w:tcPr>
                  <w:tcW w:w="2171"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微信沟通、传递和合同要求传达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92" w:type="dxa"/>
                  <w:vMerge w:val="restart"/>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lang w:val="en-US" w:eastAsia="zh-CN"/>
                    </w:rPr>
                    <w:t>记录</w:t>
                  </w:r>
                  <w:r>
                    <w:rPr>
                      <w:rFonts w:hint="eastAsia" w:ascii="宋体" w:hAnsi="宋体"/>
                      <w:sz w:val="18"/>
                      <w:szCs w:val="18"/>
                    </w:rPr>
                    <w:t>资料、</w:t>
                  </w:r>
                  <w:r>
                    <w:rPr>
                      <w:rFonts w:hint="eastAsia" w:ascii="宋体" w:hAnsi="宋体"/>
                      <w:sz w:val="18"/>
                      <w:szCs w:val="18"/>
                      <w:lang w:val="en-US" w:eastAsia="zh-CN"/>
                    </w:rPr>
                    <w:t>检测</w:t>
                  </w:r>
                  <w:r>
                    <w:rPr>
                      <w:rFonts w:hint="eastAsia" w:ascii="宋体" w:hAnsi="宋体"/>
                      <w:sz w:val="18"/>
                      <w:szCs w:val="18"/>
                    </w:rPr>
                    <w:t>不合格报告</w:t>
                  </w:r>
                </w:p>
              </w:tc>
              <w:tc>
                <w:tcPr>
                  <w:tcW w:w="1875"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检验检测</w:t>
                  </w:r>
                  <w:r>
                    <w:rPr>
                      <w:rFonts w:hint="eastAsia" w:ascii="宋体" w:hAnsi="宋体"/>
                      <w:sz w:val="18"/>
                      <w:szCs w:val="18"/>
                    </w:rPr>
                    <w:t>作业</w:t>
                  </w:r>
                  <w:r>
                    <w:rPr>
                      <w:rFonts w:hint="eastAsia" w:ascii="宋体" w:hAnsi="宋体"/>
                      <w:sz w:val="18"/>
                      <w:szCs w:val="18"/>
                      <w:lang w:val="en-US" w:eastAsia="zh-CN"/>
                    </w:rPr>
                    <w:t>技巧和操作规程等</w:t>
                  </w:r>
                </w:p>
              </w:tc>
              <w:tc>
                <w:tcPr>
                  <w:tcW w:w="1387" w:type="dxa"/>
                  <w:noWrap w:val="0"/>
                  <w:vAlign w:val="center"/>
                </w:tcPr>
                <w:p>
                  <w:pPr>
                    <w:adjustRightInd w:val="0"/>
                    <w:snapToGrid w:val="0"/>
                    <w:spacing w:line="300" w:lineRule="exact"/>
                    <w:rPr>
                      <w:rFonts w:hint="eastAsia" w:ascii="宋体" w:hAnsi="宋体" w:cs="Helvetica"/>
                      <w:color w:val="000000"/>
                      <w:sz w:val="18"/>
                      <w:szCs w:val="18"/>
                    </w:rPr>
                  </w:pPr>
                  <w:r>
                    <w:rPr>
                      <w:rFonts w:hint="eastAsia" w:ascii="宋体" w:hAnsi="宋体" w:cs="Helvetica"/>
                      <w:color w:val="000000"/>
                      <w:sz w:val="18"/>
                      <w:szCs w:val="18"/>
                    </w:rPr>
                    <w:t>常见的</w:t>
                  </w:r>
                  <w:r>
                    <w:rPr>
                      <w:rFonts w:hint="eastAsia" w:ascii="宋体" w:hAnsi="宋体" w:cs="Helvetica"/>
                      <w:color w:val="000000"/>
                      <w:sz w:val="18"/>
                      <w:szCs w:val="18"/>
                      <w:lang w:val="en-US" w:eastAsia="zh-CN"/>
                    </w:rPr>
                    <w:t>不准确的检测结果</w:t>
                  </w:r>
                  <w:r>
                    <w:rPr>
                      <w:rFonts w:hint="eastAsia" w:ascii="宋体" w:hAnsi="宋体" w:cs="Helvetica"/>
                      <w:color w:val="000000"/>
                      <w:sz w:val="18"/>
                      <w:szCs w:val="18"/>
                    </w:rPr>
                    <w:t>处理方案</w:t>
                  </w:r>
                </w:p>
              </w:tc>
              <w:tc>
                <w:tcPr>
                  <w:tcW w:w="1170" w:type="dxa"/>
                  <w:noWrap w:val="0"/>
                  <w:vAlign w:val="center"/>
                </w:tcPr>
                <w:p>
                  <w:pPr>
                    <w:jc w:val="center"/>
                  </w:pPr>
                  <w:r>
                    <w:rPr>
                      <w:rFonts w:hint="eastAsia" w:ascii="宋体" w:hAnsi="宋体"/>
                      <w:sz w:val="18"/>
                      <w:szCs w:val="18"/>
                      <w:lang w:val="en-US" w:eastAsia="zh-CN"/>
                    </w:rPr>
                    <w:t>检验检测</w:t>
                  </w:r>
                  <w:r>
                    <w:rPr>
                      <w:rFonts w:hint="eastAsia" w:ascii="宋体" w:hAnsi="宋体"/>
                      <w:sz w:val="18"/>
                      <w:szCs w:val="18"/>
                    </w:rPr>
                    <w:t>技术服务</w:t>
                  </w:r>
                  <w:r>
                    <w:rPr>
                      <w:rFonts w:hint="eastAsia" w:ascii="宋体" w:hAnsi="宋体"/>
                      <w:sz w:val="18"/>
                      <w:szCs w:val="18"/>
                      <w:lang w:val="en-US" w:eastAsia="zh-CN"/>
                    </w:rPr>
                    <w:t>过程</w:t>
                  </w:r>
                </w:p>
              </w:tc>
              <w:tc>
                <w:tcPr>
                  <w:tcW w:w="139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目前适用</w:t>
                  </w:r>
                </w:p>
              </w:tc>
              <w:tc>
                <w:tcPr>
                  <w:tcW w:w="2171" w:type="dxa"/>
                  <w:noWrap w:val="0"/>
                  <w:vAlign w:val="center"/>
                </w:tcPr>
                <w:p>
                  <w:pPr>
                    <w:adjustRightInd w:val="0"/>
                    <w:snapToGrid w:val="0"/>
                    <w:spacing w:line="300" w:lineRule="exact"/>
                    <w:rPr>
                      <w:rFonts w:hint="eastAsia" w:ascii="宋体" w:hAnsi="宋体" w:eastAsia="宋体"/>
                      <w:sz w:val="18"/>
                      <w:szCs w:val="18"/>
                      <w:lang w:eastAsia="zh-CN"/>
                    </w:rPr>
                  </w:pPr>
                  <w:r>
                    <w:rPr>
                      <w:rFonts w:hint="eastAsia" w:ascii="宋体" w:hAnsi="宋体"/>
                      <w:sz w:val="18"/>
                      <w:szCs w:val="18"/>
                    </w:rPr>
                    <w:t>转化为</w:t>
                  </w:r>
                  <w:r>
                    <w:rPr>
                      <w:rFonts w:hint="eastAsia" w:ascii="宋体" w:hAnsi="宋体"/>
                      <w:sz w:val="18"/>
                      <w:szCs w:val="18"/>
                      <w:lang w:val="en-US" w:eastAsia="zh-CN"/>
                    </w:rPr>
                    <w:t>检验检测</w:t>
                  </w:r>
                  <w:r>
                    <w:rPr>
                      <w:rFonts w:hint="eastAsia" w:ascii="宋体" w:hAnsi="宋体"/>
                      <w:sz w:val="18"/>
                      <w:szCs w:val="18"/>
                    </w:rPr>
                    <w:t>操作规程和</w:t>
                  </w:r>
                  <w:r>
                    <w:rPr>
                      <w:rFonts w:hint="eastAsia" w:ascii="宋体" w:hAnsi="宋体"/>
                      <w:sz w:val="18"/>
                      <w:szCs w:val="18"/>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1092" w:type="dxa"/>
                  <w:vMerge w:val="continue"/>
                  <w:noWrap w:val="0"/>
                  <w:vAlign w:val="center"/>
                </w:tcPr>
                <w:p>
                  <w:pPr>
                    <w:adjustRightInd w:val="0"/>
                    <w:snapToGrid w:val="0"/>
                    <w:spacing w:line="300" w:lineRule="exact"/>
                    <w:rPr>
                      <w:rFonts w:hint="eastAsia" w:ascii="宋体" w:hAnsi="宋体"/>
                      <w:sz w:val="18"/>
                      <w:szCs w:val="18"/>
                    </w:rPr>
                  </w:pPr>
                </w:p>
              </w:tc>
              <w:tc>
                <w:tcPr>
                  <w:tcW w:w="1875"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企业经营管理知识</w:t>
                  </w:r>
                </w:p>
              </w:tc>
              <w:tc>
                <w:tcPr>
                  <w:tcW w:w="1387"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职责权限分配技巧、绩效考核、目标设定方法、流程优化知识等</w:t>
                  </w:r>
                </w:p>
              </w:tc>
              <w:tc>
                <w:tcPr>
                  <w:tcW w:w="117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公司内部经营管理</w:t>
                  </w:r>
                </w:p>
              </w:tc>
              <w:tc>
                <w:tcPr>
                  <w:tcW w:w="1390" w:type="dxa"/>
                  <w:noWrap w:val="0"/>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目前适用</w:t>
                  </w:r>
                </w:p>
              </w:tc>
              <w:tc>
                <w:tcPr>
                  <w:tcW w:w="2171"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转化为目标分配表、绩效考核表等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1092"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相关的法律法规、技术文件、检验检测标准</w:t>
                  </w:r>
                </w:p>
              </w:tc>
              <w:tc>
                <w:tcPr>
                  <w:tcW w:w="1875"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lang w:val="en-US" w:eastAsia="zh-CN"/>
                    </w:rPr>
                    <w:t>文件资料、作业指导书、技术标准</w:t>
                  </w:r>
                </w:p>
              </w:tc>
              <w:tc>
                <w:tcPr>
                  <w:tcW w:w="1387"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新技术、新方法的应用范围，主要</w:t>
                  </w:r>
                  <w:r>
                    <w:rPr>
                      <w:rFonts w:hint="eastAsia" w:ascii="宋体" w:hAnsi="宋体"/>
                      <w:sz w:val="18"/>
                      <w:szCs w:val="18"/>
                      <w:lang w:val="en-US" w:eastAsia="zh-CN"/>
                    </w:rPr>
                    <w:t>检测流程</w:t>
                  </w:r>
                </w:p>
              </w:tc>
              <w:tc>
                <w:tcPr>
                  <w:tcW w:w="1170" w:type="dxa"/>
                  <w:noWrap w:val="0"/>
                  <w:vAlign w:val="center"/>
                </w:tcPr>
                <w:p>
                  <w:pPr>
                    <w:adjustRightInd w:val="0"/>
                    <w:snapToGrid w:val="0"/>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公司各部门及检验检测部</w:t>
                  </w:r>
                </w:p>
              </w:tc>
              <w:tc>
                <w:tcPr>
                  <w:tcW w:w="1390" w:type="dxa"/>
                  <w:noWrap w:val="0"/>
                  <w:vAlign w:val="center"/>
                </w:tcPr>
                <w:p>
                  <w:pPr>
                    <w:adjustRightInd w:val="0"/>
                    <w:snapToGrid w:val="0"/>
                    <w:spacing w:line="30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长期适用</w:t>
                  </w:r>
                </w:p>
              </w:tc>
              <w:tc>
                <w:tcPr>
                  <w:tcW w:w="2171" w:type="dxa"/>
                  <w:noWrap w:val="0"/>
                  <w:vAlign w:val="center"/>
                </w:tcPr>
                <w:p>
                  <w:pPr>
                    <w:adjustRightInd w:val="0"/>
                    <w:snapToGrid w:val="0"/>
                    <w:spacing w:line="300" w:lineRule="exact"/>
                    <w:rPr>
                      <w:rFonts w:hint="default" w:ascii="宋体" w:hAnsi="宋体" w:eastAsia="宋体"/>
                      <w:sz w:val="18"/>
                      <w:szCs w:val="18"/>
                      <w:lang w:val="en-US" w:eastAsia="zh-CN"/>
                    </w:rPr>
                  </w:pPr>
                  <w:r>
                    <w:rPr>
                      <w:rFonts w:hint="eastAsia" w:ascii="宋体" w:hAnsi="宋体"/>
                      <w:sz w:val="18"/>
                      <w:szCs w:val="18"/>
                      <w:lang w:val="en-US" w:eastAsia="zh-CN"/>
                    </w:rPr>
                    <w:t>定期培训、文件发放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1092" w:type="dxa"/>
                  <w:noWrap w:val="0"/>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审核报告、培训教材</w:t>
                  </w:r>
                </w:p>
                <w:p>
                  <w:pPr>
                    <w:adjustRightInd w:val="0"/>
                    <w:snapToGrid w:val="0"/>
                    <w:spacing w:line="300" w:lineRule="exact"/>
                    <w:rPr>
                      <w:rFonts w:hint="eastAsia" w:ascii="宋体" w:hAnsi="宋体"/>
                      <w:bCs/>
                      <w:kern w:val="2"/>
                      <w:sz w:val="18"/>
                      <w:szCs w:val="18"/>
                      <w:lang w:val="en-US" w:eastAsia="zh-CN" w:bidi="ar-SA"/>
                    </w:rPr>
                  </w:pPr>
                  <w:r>
                    <w:rPr>
                      <w:rFonts w:hint="eastAsia" w:ascii="宋体" w:hAnsi="宋体"/>
                      <w:sz w:val="18"/>
                      <w:szCs w:val="18"/>
                    </w:rPr>
                    <w:t>认证标准</w:t>
                  </w:r>
                </w:p>
              </w:tc>
              <w:tc>
                <w:tcPr>
                  <w:tcW w:w="1875" w:type="dxa"/>
                  <w:noWrap w:val="0"/>
                  <w:vAlign w:val="center"/>
                </w:tcPr>
                <w:p>
                  <w:pPr>
                    <w:adjustRightInd w:val="0"/>
                    <w:snapToGrid w:val="0"/>
                    <w:spacing w:line="300" w:lineRule="exact"/>
                    <w:rPr>
                      <w:rFonts w:hint="eastAsia" w:ascii="宋体" w:hAnsi="宋体"/>
                      <w:bCs/>
                      <w:kern w:val="2"/>
                      <w:sz w:val="18"/>
                      <w:szCs w:val="18"/>
                      <w:lang w:val="en-US" w:eastAsia="zh-CN" w:bidi="ar-SA"/>
                    </w:rPr>
                  </w:pPr>
                  <w:r>
                    <w:rPr>
                      <w:rFonts w:hint="eastAsia" w:ascii="宋体" w:hAnsi="宋体"/>
                      <w:sz w:val="18"/>
                      <w:szCs w:val="18"/>
                    </w:rPr>
                    <w:t>管理体系知识、7S知识、流程管理知识等</w:t>
                  </w:r>
                </w:p>
              </w:tc>
              <w:tc>
                <w:tcPr>
                  <w:tcW w:w="1387" w:type="dxa"/>
                  <w:noWrap w:val="0"/>
                  <w:vAlign w:val="center"/>
                </w:tcPr>
                <w:p>
                  <w:pPr>
                    <w:adjustRightInd w:val="0"/>
                    <w:snapToGrid w:val="0"/>
                    <w:spacing w:line="300" w:lineRule="exact"/>
                    <w:rPr>
                      <w:rFonts w:hint="eastAsia" w:ascii="宋体" w:hAnsi="宋体"/>
                      <w:bCs/>
                      <w:kern w:val="2"/>
                      <w:sz w:val="18"/>
                      <w:szCs w:val="18"/>
                      <w:lang w:val="en-US" w:eastAsia="zh-CN" w:bidi="ar-SA"/>
                    </w:rPr>
                  </w:pPr>
                  <w:r>
                    <w:rPr>
                      <w:rFonts w:hint="eastAsia" w:ascii="宋体" w:hAnsi="宋体"/>
                      <w:sz w:val="18"/>
                      <w:szCs w:val="18"/>
                    </w:rPr>
                    <w:t>ISO9001知识、流程优化知识</w:t>
                  </w:r>
                </w:p>
              </w:tc>
              <w:tc>
                <w:tcPr>
                  <w:tcW w:w="1170" w:type="dxa"/>
                  <w:noWrap w:val="0"/>
                  <w:vAlign w:val="center"/>
                </w:tcPr>
                <w:p>
                  <w:pPr>
                    <w:adjustRightInd w:val="0"/>
                    <w:snapToGrid w:val="0"/>
                    <w:spacing w:line="300" w:lineRule="exact"/>
                    <w:rPr>
                      <w:rFonts w:hint="eastAsia" w:ascii="宋体" w:hAnsi="宋体"/>
                      <w:bCs/>
                      <w:kern w:val="2"/>
                      <w:sz w:val="18"/>
                      <w:szCs w:val="18"/>
                      <w:lang w:val="en-US" w:eastAsia="zh-CN" w:bidi="ar-SA"/>
                    </w:rPr>
                  </w:pPr>
                  <w:r>
                    <w:rPr>
                      <w:rFonts w:hint="eastAsia" w:ascii="宋体" w:hAnsi="宋体"/>
                      <w:sz w:val="18"/>
                      <w:szCs w:val="18"/>
                    </w:rPr>
                    <w:t>公司内部经营管理</w:t>
                  </w:r>
                </w:p>
              </w:tc>
              <w:tc>
                <w:tcPr>
                  <w:tcW w:w="1390" w:type="dxa"/>
                  <w:noWrap w:val="0"/>
                  <w:vAlign w:val="center"/>
                </w:tcPr>
                <w:p>
                  <w:pPr>
                    <w:adjustRightInd w:val="0"/>
                    <w:snapToGrid w:val="0"/>
                    <w:spacing w:line="300" w:lineRule="exact"/>
                    <w:jc w:val="center"/>
                    <w:rPr>
                      <w:rFonts w:hint="eastAsia" w:ascii="宋体" w:hAnsi="宋体"/>
                      <w:bCs/>
                      <w:kern w:val="2"/>
                      <w:sz w:val="18"/>
                      <w:szCs w:val="18"/>
                      <w:lang w:val="en-US" w:eastAsia="zh-CN" w:bidi="ar-SA"/>
                    </w:rPr>
                  </w:pPr>
                  <w:r>
                    <w:rPr>
                      <w:rFonts w:hint="eastAsia" w:ascii="宋体" w:hAnsi="宋体"/>
                      <w:sz w:val="18"/>
                      <w:szCs w:val="18"/>
                    </w:rPr>
                    <w:t>适用</w:t>
                  </w:r>
                </w:p>
              </w:tc>
              <w:tc>
                <w:tcPr>
                  <w:tcW w:w="2171" w:type="dxa"/>
                  <w:noWrap w:val="0"/>
                  <w:vAlign w:val="center"/>
                </w:tcPr>
                <w:p>
                  <w:pPr>
                    <w:adjustRightInd w:val="0"/>
                    <w:snapToGrid w:val="0"/>
                    <w:spacing w:line="300" w:lineRule="exact"/>
                    <w:rPr>
                      <w:rFonts w:hint="eastAsia" w:ascii="宋体" w:hAnsi="宋体"/>
                      <w:bCs/>
                      <w:kern w:val="2"/>
                      <w:sz w:val="18"/>
                      <w:szCs w:val="18"/>
                      <w:lang w:val="en-US" w:eastAsia="zh-CN" w:bidi="ar-SA"/>
                    </w:rPr>
                  </w:pPr>
                  <w:r>
                    <w:rPr>
                      <w:rFonts w:hint="eastAsia" w:ascii="宋体" w:hAnsi="宋体"/>
                      <w:sz w:val="18"/>
                      <w:szCs w:val="18"/>
                    </w:rPr>
                    <w:t>形成文件化的信息、内部培训、内审等</w:t>
                  </w:r>
                </w:p>
              </w:tc>
            </w:tr>
          </w:tbl>
          <w:p>
            <w:pPr>
              <w:pStyle w:val="15"/>
              <w:spacing w:line="360" w:lineRule="exact"/>
              <w:ind w:firstLine="0" w:firstLineChars="0"/>
              <w:jc w:val="left"/>
              <w:rPr>
                <w:rFonts w:hint="eastAsia" w:ascii="宋体" w:hAnsi="宋体" w:cs="Times New Roman"/>
                <w:szCs w:val="21"/>
                <w:lang w:val="en-US" w:eastAsia="zh-CN"/>
              </w:rPr>
            </w:pPr>
          </w:p>
          <w:p>
            <w:pPr>
              <w:pStyle w:val="15"/>
              <w:spacing w:line="360" w:lineRule="exact"/>
              <w:ind w:firstLine="0" w:firstLineChars="0"/>
              <w:jc w:val="left"/>
              <w:rPr>
                <w:rFonts w:hint="eastAsia" w:ascii="宋体" w:hAnsi="宋体" w:cs="Times New Roman"/>
                <w:szCs w:val="21"/>
                <w:lang w:val="en-US" w:eastAsia="zh-CN"/>
              </w:rPr>
            </w:pPr>
            <w:r>
              <w:rPr>
                <w:rFonts w:hint="eastAsia" w:ascii="宋体" w:hAnsi="宋体" w:cs="Times New Roman"/>
                <w:szCs w:val="21"/>
                <w:lang w:val="en-US" w:eastAsia="zh-CN"/>
              </w:rPr>
              <w:t>组织的知识管理符合标准要求。</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意识和能力</w:t>
            </w:r>
          </w:p>
        </w:tc>
        <w:tc>
          <w:tcPr>
            <w:tcW w:w="2220" w:type="dxa"/>
          </w:tcPr>
          <w:p>
            <w:pPr>
              <w:pStyle w:val="10"/>
              <w:rPr>
                <w:rFonts w:hint="eastAsia"/>
                <w:lang w:val="en-US" w:eastAsia="zh-CN"/>
              </w:rPr>
            </w:pPr>
            <w:r>
              <w:rPr>
                <w:rFonts w:hint="eastAsia"/>
                <w:lang w:val="en-US" w:eastAsia="zh-CN"/>
              </w:rPr>
              <w:t>QEO7.2</w:t>
            </w:r>
          </w:p>
          <w:p>
            <w:pPr>
              <w:pStyle w:val="10"/>
              <w:rPr>
                <w:rFonts w:hint="default"/>
                <w:lang w:val="en-US" w:eastAsia="zh-CN"/>
              </w:rPr>
            </w:pPr>
            <w:r>
              <w:rPr>
                <w:rFonts w:hint="eastAsia"/>
                <w:lang w:val="en-US" w:eastAsia="zh-CN"/>
              </w:rPr>
              <w:t>QEO7.3</w:t>
            </w:r>
          </w:p>
        </w:tc>
        <w:tc>
          <w:tcPr>
            <w:tcW w:w="10040" w:type="dxa"/>
          </w:tcPr>
          <w:p>
            <w:pPr>
              <w:pStyle w:val="15"/>
              <w:spacing w:line="360" w:lineRule="exact"/>
              <w:ind w:firstLine="420" w:firstLineChars="200"/>
              <w:jc w:val="left"/>
              <w:rPr>
                <w:rFonts w:hint="eastAsia" w:ascii="宋体" w:hAnsi="宋体"/>
                <w:szCs w:val="21"/>
              </w:rPr>
            </w:pPr>
            <w:r>
              <w:rPr>
                <w:rFonts w:hint="eastAsia" w:ascii="宋体" w:hAnsi="宋体"/>
                <w:szCs w:val="21"/>
              </w:rPr>
              <w:t>公司</w:t>
            </w:r>
            <w:r>
              <w:rPr>
                <w:rFonts w:hint="eastAsia" w:ascii="宋体" w:hAnsi="宋体"/>
                <w:szCs w:val="21"/>
                <w:lang w:val="en-US" w:eastAsia="zh-CN"/>
              </w:rPr>
              <w:t>综合部</w:t>
            </w:r>
            <w:r>
              <w:rPr>
                <w:rFonts w:hint="eastAsia" w:ascii="宋体" w:hAnsi="宋体"/>
                <w:szCs w:val="21"/>
              </w:rPr>
              <w:t>确定影响产品和服务质量的各岗位人员的素质要求，包括人员的教育、培训、技能和经验要求，并按该要求进行评价配备人力资源，使其有能力胜任本职工作。</w:t>
            </w:r>
          </w:p>
          <w:p>
            <w:pPr>
              <w:pStyle w:val="15"/>
              <w:spacing w:line="360" w:lineRule="exact"/>
              <w:ind w:firstLine="0" w:firstLineChars="0"/>
              <w:jc w:val="left"/>
              <w:rPr>
                <w:rFonts w:hint="eastAsia" w:ascii="宋体" w:hAnsi="宋体"/>
                <w:szCs w:val="21"/>
              </w:rPr>
            </w:pPr>
            <w:r>
              <w:rPr>
                <w:rFonts w:hint="eastAsia" w:ascii="宋体" w:hAnsi="宋体"/>
                <w:szCs w:val="21"/>
                <w:lang w:eastAsia="zh-CN"/>
              </w:rPr>
              <w:t>综合部</w:t>
            </w:r>
            <w:r>
              <w:rPr>
                <w:rFonts w:hint="eastAsia" w:ascii="宋体" w:hAnsi="宋体"/>
                <w:szCs w:val="21"/>
              </w:rPr>
              <w:t>按照职责权限要求和岗位说明书进行人员招聘。</w:t>
            </w:r>
          </w:p>
          <w:p>
            <w:pPr>
              <w:pStyle w:val="15"/>
              <w:spacing w:line="360" w:lineRule="exact"/>
              <w:ind w:firstLine="0" w:firstLineChars="0"/>
              <w:jc w:val="left"/>
              <w:rPr>
                <w:rFonts w:hint="eastAsia" w:ascii="宋体" w:hAnsi="宋体"/>
                <w:szCs w:val="21"/>
              </w:rPr>
            </w:pPr>
            <w:r>
              <w:rPr>
                <w:rFonts w:hint="eastAsia" w:ascii="宋体" w:hAnsi="宋体"/>
                <w:szCs w:val="21"/>
              </w:rPr>
              <w:t>制定了年度培训计划，查培训计划与培训内容，所策划和实施的培训内容，技能</w:t>
            </w:r>
            <w:r>
              <w:rPr>
                <w:rFonts w:hint="eastAsia" w:ascii="宋体" w:hAnsi="宋体"/>
                <w:szCs w:val="21"/>
                <w:lang w:val="en-US" w:eastAsia="zh-CN"/>
              </w:rPr>
              <w:t>要求</w:t>
            </w:r>
            <w:r>
              <w:rPr>
                <w:rFonts w:hint="eastAsia" w:ascii="宋体" w:hAnsi="宋体"/>
                <w:szCs w:val="21"/>
              </w:rPr>
              <w:t>符合企业实际需求，人员能力基本胜任</w:t>
            </w:r>
          </w:p>
          <w:p>
            <w:pPr>
              <w:pStyle w:val="15"/>
              <w:spacing w:line="360" w:lineRule="exact"/>
              <w:ind w:firstLine="420" w:firstLineChars="200"/>
              <w:jc w:val="left"/>
              <w:rPr>
                <w:rFonts w:hint="eastAsia" w:ascii="宋体" w:hAnsi="宋体"/>
                <w:szCs w:val="21"/>
              </w:rPr>
            </w:pPr>
            <w:r>
              <w:rPr>
                <w:rFonts w:hint="eastAsia" w:ascii="宋体" w:hAnsi="宋体"/>
                <w:szCs w:val="21"/>
              </w:rPr>
              <w:t>查岗位清单和所提供的岗位职责与任职要求，对本部门负责人及各个岗位人员的任职及能力要求做出了规定。包括教育、培训、技能、经验（从事本岗位的工作年限）；</w:t>
            </w:r>
          </w:p>
          <w:p>
            <w:pPr>
              <w:pStyle w:val="15"/>
              <w:spacing w:line="360" w:lineRule="exact"/>
              <w:ind w:firstLine="420" w:firstLineChars="200"/>
              <w:jc w:val="left"/>
              <w:rPr>
                <w:rFonts w:hint="eastAsia" w:ascii="宋体" w:hAnsi="宋体"/>
                <w:szCs w:val="21"/>
                <w:lang w:val="en-US" w:eastAsia="zh-CN"/>
              </w:rPr>
            </w:pPr>
            <w:r>
              <w:rPr>
                <w:rFonts w:hint="eastAsia" w:ascii="宋体" w:hAnsi="宋体"/>
                <w:szCs w:val="21"/>
                <w:lang w:val="en-US" w:eastAsia="zh-CN"/>
              </w:rPr>
              <w:t>查专业资质证书：提供15个检定员资质证书和1个电工证书。</w:t>
            </w:r>
          </w:p>
          <w:p>
            <w:pPr>
              <w:pStyle w:val="15"/>
              <w:spacing w:line="360" w:lineRule="exact"/>
              <w:ind w:firstLine="420" w:firstLineChars="200"/>
              <w:jc w:val="left"/>
              <w:rPr>
                <w:rFonts w:hint="default" w:ascii="宋体" w:hAnsi="宋体"/>
                <w:szCs w:val="21"/>
                <w:lang w:val="en-US" w:eastAsia="zh-CN"/>
              </w:rPr>
            </w:pPr>
            <w:r>
              <w:drawing>
                <wp:anchor distT="0" distB="0" distL="114300" distR="114300" simplePos="0" relativeHeight="251658240" behindDoc="0" locked="0" layoutInCell="1" allowOverlap="1">
                  <wp:simplePos x="0" y="0"/>
                  <wp:positionH relativeFrom="column">
                    <wp:posOffset>127635</wp:posOffset>
                  </wp:positionH>
                  <wp:positionV relativeFrom="paragraph">
                    <wp:posOffset>15240</wp:posOffset>
                  </wp:positionV>
                  <wp:extent cx="5810250" cy="2222500"/>
                  <wp:effectExtent l="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10250" cy="2222500"/>
                          </a:xfrm>
                          <a:prstGeom prst="rect">
                            <a:avLst/>
                          </a:prstGeom>
                          <a:noFill/>
                          <a:ln>
                            <a:noFill/>
                          </a:ln>
                        </pic:spPr>
                      </pic:pic>
                    </a:graphicData>
                  </a:graphic>
                </wp:anchor>
              </w:drawing>
            </w:r>
          </w:p>
          <w:p>
            <w:pPr>
              <w:pStyle w:val="15"/>
              <w:spacing w:line="360" w:lineRule="exact"/>
              <w:ind w:firstLine="420" w:firstLineChars="200"/>
              <w:jc w:val="left"/>
              <w:rPr>
                <w:rFonts w:hint="eastAsia" w:ascii="宋体" w:hAnsi="宋体"/>
                <w:szCs w:val="21"/>
                <w:lang w:val="en-US" w:eastAsia="zh-CN"/>
              </w:rPr>
            </w:pPr>
            <w:r>
              <w:rPr>
                <w:rFonts w:hint="eastAsia" w:ascii="宋体" w:hAnsi="宋体"/>
                <w:szCs w:val="21"/>
              </w:rPr>
              <w:t>查企业年度培训计划，20</w:t>
            </w:r>
            <w:r>
              <w:rPr>
                <w:rFonts w:hint="eastAsia" w:ascii="宋体" w:hAnsi="宋体"/>
                <w:szCs w:val="21"/>
                <w:lang w:val="en-US" w:eastAsia="zh-CN"/>
              </w:rPr>
              <w:t>20</w:t>
            </w:r>
            <w:r>
              <w:rPr>
                <w:rFonts w:hint="eastAsia" w:ascii="宋体" w:hAnsi="宋体"/>
                <w:szCs w:val="21"/>
              </w:rPr>
              <w:t>年共制定</w:t>
            </w:r>
            <w:r>
              <w:rPr>
                <w:rFonts w:hint="eastAsia" w:ascii="宋体" w:hAnsi="宋体"/>
                <w:szCs w:val="21"/>
                <w:lang w:val="en-US" w:eastAsia="zh-CN"/>
              </w:rPr>
              <w:t>10</w:t>
            </w:r>
            <w:r>
              <w:rPr>
                <w:rFonts w:hint="eastAsia" w:ascii="宋体" w:hAnsi="宋体"/>
                <w:szCs w:val="21"/>
              </w:rPr>
              <w:t>项，包含：</w:t>
            </w:r>
            <w:r>
              <w:rPr>
                <w:rFonts w:hint="eastAsia" w:ascii="宋体" w:hAnsi="宋体"/>
                <w:szCs w:val="21"/>
                <w:lang w:val="en-US" w:eastAsia="zh-CN"/>
              </w:rPr>
              <w:t>检定/校准操作规程、QES</w:t>
            </w:r>
            <w:r>
              <w:rPr>
                <w:rFonts w:hint="eastAsia" w:ascii="宋体" w:hAnsi="宋体"/>
                <w:szCs w:val="21"/>
                <w:lang w:eastAsia="zh-CN"/>
              </w:rPr>
              <w:t>标准的培训</w:t>
            </w:r>
            <w:r>
              <w:rPr>
                <w:rFonts w:hint="eastAsia" w:ascii="宋体" w:hAnsi="宋体"/>
                <w:szCs w:val="21"/>
              </w:rPr>
              <w:t>、管理制度、进出货检验流程强化</w:t>
            </w:r>
            <w:r>
              <w:rPr>
                <w:rFonts w:hint="eastAsia" w:ascii="宋体" w:hAnsi="宋体"/>
                <w:szCs w:val="21"/>
                <w:lang w:eastAsia="zh-CN"/>
              </w:rPr>
              <w:t>、</w:t>
            </w:r>
            <w:r>
              <w:rPr>
                <w:rFonts w:hint="eastAsia" w:hAnsi="宋体"/>
                <w:bCs/>
                <w:sz w:val="21"/>
                <w:szCs w:val="21"/>
                <w:lang w:val="en-US" w:eastAsia="zh-CN"/>
              </w:rPr>
              <w:t>QEO三体系标准培训等</w:t>
            </w:r>
            <w:r>
              <w:rPr>
                <w:rFonts w:hint="eastAsia" w:ascii="宋体" w:hAnsi="宋体"/>
                <w:szCs w:val="21"/>
              </w:rPr>
              <w:t>。目前已完成</w:t>
            </w:r>
            <w:r>
              <w:rPr>
                <w:rFonts w:hint="eastAsia" w:ascii="宋体" w:hAnsi="宋体"/>
                <w:szCs w:val="21"/>
                <w:lang w:val="en-US" w:eastAsia="zh-CN"/>
              </w:rPr>
              <w:t>8</w:t>
            </w:r>
            <w:r>
              <w:rPr>
                <w:rFonts w:hint="eastAsia" w:ascii="宋体" w:hAnsi="宋体"/>
                <w:szCs w:val="21"/>
              </w:rPr>
              <w:t>项</w:t>
            </w:r>
            <w:r>
              <w:rPr>
                <w:rFonts w:hint="eastAsia" w:ascii="宋体" w:hAnsi="宋体"/>
                <w:szCs w:val="21"/>
                <w:lang w:val="en-US" w:eastAsia="zh-CN"/>
              </w:rPr>
              <w:t>.</w:t>
            </w:r>
          </w:p>
          <w:p>
            <w:pPr>
              <w:pStyle w:val="15"/>
              <w:spacing w:line="360" w:lineRule="exact"/>
              <w:ind w:firstLine="0" w:firstLineChars="0"/>
              <w:jc w:val="left"/>
              <w:rPr>
                <w:rFonts w:hint="eastAsia" w:ascii="宋体" w:hAnsi="宋体"/>
                <w:szCs w:val="21"/>
              </w:rPr>
            </w:pPr>
            <w:r>
              <w:rPr>
                <w:rFonts w:hint="eastAsia" w:ascii="宋体" w:hAnsi="宋体"/>
                <w:szCs w:val="21"/>
              </w:rPr>
              <w:t>抽查培训实施：</w:t>
            </w:r>
          </w:p>
          <w:p>
            <w:pPr>
              <w:spacing w:line="460" w:lineRule="exact"/>
              <w:ind w:firstLine="420" w:firstLineChars="200"/>
              <w:rPr>
                <w:rFonts w:hint="eastAsia"/>
                <w:sz w:val="28"/>
                <w:szCs w:val="28"/>
              </w:rPr>
            </w:pPr>
            <w:r>
              <w:rPr>
                <w:rFonts w:hint="eastAsia" w:ascii="宋体" w:hAnsi="宋体"/>
                <w:szCs w:val="21"/>
              </w:rPr>
              <w:t>抽查培训评价记录</w:t>
            </w:r>
            <w:r>
              <w:rPr>
                <w:rFonts w:hint="eastAsia" w:ascii="宋体" w:hAnsi="宋体" w:eastAsia="宋体" w:cs="Times New Roman"/>
                <w:szCs w:val="21"/>
              </w:rPr>
              <w:t>：20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3</w:t>
            </w:r>
            <w:r>
              <w:rPr>
                <w:rFonts w:hint="eastAsia" w:ascii="宋体" w:hAnsi="宋体" w:eastAsia="宋体" w:cs="Times New Roman"/>
                <w:szCs w:val="21"/>
              </w:rPr>
              <w:t>日</w:t>
            </w:r>
            <w:r>
              <w:rPr>
                <w:rFonts w:hint="eastAsia" w:ascii="宋体" w:hAnsi="宋体"/>
                <w:szCs w:val="21"/>
              </w:rPr>
              <w:t>，培训内容：</w:t>
            </w:r>
            <w:r>
              <w:rPr>
                <w:rFonts w:hint="eastAsia" w:ascii="宋体" w:hAnsi="宋体" w:cs="Times New Roman"/>
                <w:szCs w:val="21"/>
              </w:rPr>
              <w:t>以GB/T19000-20</w:t>
            </w:r>
            <w:r>
              <w:rPr>
                <w:rFonts w:hint="eastAsia" w:ascii="宋体" w:hAnsi="宋体" w:cs="Times New Roman"/>
                <w:szCs w:val="21"/>
                <w:lang w:val="en-US" w:eastAsia="zh-CN"/>
              </w:rPr>
              <w:t>16</w:t>
            </w:r>
            <w:r>
              <w:rPr>
                <w:rFonts w:hint="eastAsia" w:ascii="宋体" w:hAnsi="宋体" w:cs="Times New Roman"/>
                <w:szCs w:val="21"/>
                <w:lang w:eastAsia="zh-CN"/>
              </w:rPr>
              <w:t>、</w:t>
            </w:r>
            <w:r>
              <w:rPr>
                <w:rFonts w:hint="eastAsia" w:ascii="宋体" w:hAnsi="宋体" w:cs="Times New Roman"/>
                <w:szCs w:val="21"/>
              </w:rPr>
              <w:t>GB/T19001-20</w:t>
            </w:r>
            <w:r>
              <w:rPr>
                <w:rFonts w:hint="eastAsia" w:ascii="宋体" w:hAnsi="宋体" w:cs="Times New Roman"/>
                <w:szCs w:val="21"/>
                <w:lang w:val="en-US" w:eastAsia="zh-CN"/>
              </w:rPr>
              <w:t>16</w:t>
            </w:r>
            <w:r>
              <w:rPr>
                <w:rFonts w:hint="eastAsia" w:ascii="宋体" w:hAnsi="宋体" w:cs="Times New Roman"/>
                <w:szCs w:val="21"/>
                <w:lang w:eastAsia="zh-CN"/>
              </w:rPr>
              <w:t>、</w:t>
            </w:r>
            <w:r>
              <w:rPr>
                <w:rFonts w:hint="eastAsia" w:ascii="宋体" w:hAnsi="宋体" w:cs="Times New Roman"/>
                <w:szCs w:val="21"/>
                <w:lang w:val="en-US" w:eastAsia="zh-CN"/>
              </w:rPr>
              <w:t>GB/T24001-2016、ISO45001：2018</w:t>
            </w:r>
            <w:r>
              <w:rPr>
                <w:rFonts w:hint="eastAsia" w:ascii="宋体" w:hAnsi="宋体" w:cs="Times New Roman"/>
                <w:szCs w:val="21"/>
              </w:rPr>
              <w:t>为教材，对公司管理人员进行了集中贯标培训，以提问、讨论的方式进行培训效果成绩考核</w:t>
            </w:r>
            <w:r>
              <w:rPr>
                <w:rFonts w:hint="eastAsia"/>
                <w:sz w:val="28"/>
                <w:szCs w:val="28"/>
              </w:rPr>
              <w:t>。</w:t>
            </w:r>
          </w:p>
          <w:p>
            <w:pPr>
              <w:pStyle w:val="15"/>
              <w:spacing w:line="360" w:lineRule="exact"/>
              <w:ind w:firstLine="0" w:firstLineChars="0"/>
              <w:jc w:val="left"/>
              <w:rPr>
                <w:rFonts w:hint="eastAsia" w:ascii="宋体" w:hAnsi="宋体"/>
                <w:szCs w:val="21"/>
              </w:rPr>
            </w:pPr>
            <w:r>
              <w:rPr>
                <w:rFonts w:hint="eastAsia" w:ascii="宋体" w:hAnsi="宋体"/>
                <w:szCs w:val="21"/>
              </w:rPr>
              <w:t>培训教师：</w:t>
            </w:r>
            <w:r>
              <w:rPr>
                <w:rFonts w:hint="eastAsia" w:ascii="宋体" w:hAnsi="宋体" w:eastAsia="宋体" w:cs="Times New Roman"/>
                <w:szCs w:val="21"/>
                <w:lang w:val="en-US" w:eastAsia="zh-CN"/>
              </w:rPr>
              <w:t>马贵兰</w:t>
            </w:r>
            <w:r>
              <w:rPr>
                <w:rFonts w:hint="eastAsia" w:ascii="宋体" w:hAnsi="宋体" w:eastAsia="宋体" w:cs="Times New Roman"/>
                <w:szCs w:val="21"/>
              </w:rPr>
              <w:t>，</w:t>
            </w:r>
            <w:r>
              <w:rPr>
                <w:rFonts w:hint="eastAsia" w:ascii="宋体" w:hAnsi="宋体"/>
                <w:szCs w:val="21"/>
              </w:rPr>
              <w:t>培训记录有签到表、培训时间、地点、人数、效果评价等，经口头交流考核结果合格，</w:t>
            </w:r>
            <w:r>
              <w:rPr>
                <w:rFonts w:hint="eastAsia" w:ascii="宋体" w:hAnsi="宋体"/>
                <w:szCs w:val="21"/>
                <w:lang w:val="en-US" w:eastAsia="zh-CN"/>
              </w:rPr>
              <w:t>培训教师</w:t>
            </w:r>
            <w:r>
              <w:rPr>
                <w:rFonts w:hint="eastAsia" w:ascii="宋体" w:hAnsi="宋体"/>
                <w:szCs w:val="21"/>
              </w:rPr>
              <w:t>确认。</w:t>
            </w:r>
          </w:p>
          <w:p>
            <w:pPr>
              <w:pStyle w:val="15"/>
              <w:spacing w:line="360" w:lineRule="exact"/>
              <w:ind w:firstLine="420" w:firstLineChars="200"/>
              <w:jc w:val="left"/>
              <w:rPr>
                <w:rFonts w:hint="eastAsia" w:ascii="宋体" w:hAnsi="宋体"/>
                <w:szCs w:val="21"/>
              </w:rPr>
            </w:pPr>
            <w:r>
              <w:rPr>
                <w:rFonts w:hint="eastAsia" w:ascii="宋体" w:hAnsi="宋体"/>
                <w:szCs w:val="21"/>
              </w:rPr>
              <w:t>抽</w:t>
            </w:r>
            <w:r>
              <w:rPr>
                <w:rFonts w:hint="eastAsia" w:ascii="宋体" w:hAnsi="宋体" w:eastAsia="宋体" w:cs="Times New Roman"/>
                <w:szCs w:val="21"/>
              </w:rPr>
              <w:t>查20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11</w:t>
            </w:r>
            <w:r>
              <w:rPr>
                <w:rFonts w:hint="eastAsia" w:ascii="宋体" w:hAnsi="宋体" w:eastAsia="宋体" w:cs="Times New Roman"/>
                <w:szCs w:val="21"/>
              </w:rPr>
              <w:t>月1</w:t>
            </w:r>
            <w:r>
              <w:rPr>
                <w:rFonts w:hint="eastAsia" w:ascii="宋体" w:hAnsi="宋体" w:eastAsia="宋体" w:cs="Times New Roman"/>
                <w:szCs w:val="21"/>
                <w:lang w:val="en-US" w:eastAsia="zh-CN"/>
              </w:rPr>
              <w:t>6</w:t>
            </w:r>
            <w:r>
              <w:rPr>
                <w:rFonts w:hint="eastAsia" w:ascii="宋体" w:hAnsi="宋体" w:eastAsia="宋体" w:cs="Times New Roman"/>
                <w:szCs w:val="21"/>
              </w:rPr>
              <w:t>日</w:t>
            </w:r>
            <w:r>
              <w:rPr>
                <w:rFonts w:hint="eastAsia" w:ascii="宋体" w:hAnsi="宋体" w:cs="Times New Roman"/>
                <w:szCs w:val="21"/>
              </w:rPr>
              <w:t>，</w:t>
            </w:r>
            <w:r>
              <w:rPr>
                <w:rFonts w:hint="eastAsia" w:ascii="宋体" w:hAnsi="宋体"/>
                <w:szCs w:val="21"/>
              </w:rPr>
              <w:t>培训内容：</w:t>
            </w:r>
            <w:r>
              <w:rPr>
                <w:rFonts w:hint="eastAsia" w:ascii="宋体" w:hAnsi="宋体" w:cs="Times New Roman"/>
                <w:szCs w:val="21"/>
                <w:lang w:val="en-US" w:eastAsia="zh-CN"/>
              </w:rPr>
              <w:t>以本公司质量管理体系文件《管理手册》、《程序文件》、《管理、作业文件》、《产品质量法》、《消费者权益保护法》、《合同法》为学习教材，对公司管理人员进行了集中培训，以提问、讨论的方式进行培训效果成绩考核</w:t>
            </w:r>
            <w:r>
              <w:rPr>
                <w:rFonts w:hint="eastAsia" w:ascii="宋体" w:hAnsi="宋体"/>
                <w:szCs w:val="21"/>
              </w:rPr>
              <w:t>，参加人员</w:t>
            </w:r>
            <w:r>
              <w:rPr>
                <w:rFonts w:hint="eastAsia" w:ascii="宋体" w:hAnsi="宋体"/>
                <w:szCs w:val="21"/>
                <w:lang w:eastAsia="zh-CN"/>
              </w:rPr>
              <w:t>：</w:t>
            </w:r>
            <w:r>
              <w:rPr>
                <w:rFonts w:hint="eastAsia" w:ascii="宋体" w:hAnsi="宋体"/>
                <w:szCs w:val="21"/>
                <w:lang w:val="en-US" w:eastAsia="zh-CN"/>
              </w:rPr>
              <w:t>9人</w:t>
            </w:r>
            <w:r>
              <w:rPr>
                <w:rFonts w:hint="eastAsia" w:ascii="宋体" w:hAnsi="宋体"/>
                <w:szCs w:val="21"/>
              </w:rPr>
              <w:t>，有签到、培训时间、地点、人数、效果评价，考核结果合格。</w:t>
            </w:r>
          </w:p>
          <w:p>
            <w:pPr>
              <w:pStyle w:val="15"/>
              <w:spacing w:line="360" w:lineRule="exact"/>
              <w:ind w:firstLine="0" w:firstLineChars="0"/>
              <w:jc w:val="left"/>
              <w:rPr>
                <w:rFonts w:hint="eastAsia" w:ascii="宋体" w:hAnsi="宋体"/>
                <w:szCs w:val="21"/>
              </w:rPr>
            </w:pPr>
            <w:r>
              <w:rPr>
                <w:rFonts w:hint="eastAsia" w:ascii="宋体" w:hAnsi="宋体"/>
                <w:szCs w:val="21"/>
              </w:rPr>
              <w:t>对以上所抽查的培训项目公司制定了相应的培训计划和培训签到及评价。</w:t>
            </w:r>
          </w:p>
          <w:p>
            <w:pPr>
              <w:pStyle w:val="15"/>
              <w:spacing w:line="360" w:lineRule="exact"/>
              <w:ind w:firstLine="0" w:firstLineChars="0"/>
              <w:jc w:val="left"/>
              <w:rPr>
                <w:rFonts w:hint="eastAsia" w:ascii="宋体" w:hAnsi="宋体"/>
                <w:szCs w:val="21"/>
                <w:lang w:val="en-US" w:eastAsia="zh-CN"/>
              </w:rPr>
            </w:pPr>
            <w:r>
              <w:rPr>
                <w:rFonts w:hint="eastAsia" w:ascii="宋体" w:hAnsi="宋体"/>
                <w:szCs w:val="21"/>
                <w:lang w:val="en-US" w:eastAsia="zh-CN"/>
              </w:rPr>
              <w:t>企业每月进行一次新员工的上岗培训。</w:t>
            </w:r>
          </w:p>
          <w:p>
            <w:pPr>
              <w:pStyle w:val="15"/>
              <w:spacing w:line="360" w:lineRule="exact"/>
              <w:ind w:firstLine="0" w:firstLineChars="0"/>
              <w:jc w:val="left"/>
              <w:rPr>
                <w:rFonts w:hint="default" w:ascii="宋体" w:hAnsi="宋体"/>
                <w:szCs w:val="21"/>
                <w:lang w:val="en-US" w:eastAsia="zh-CN"/>
              </w:rPr>
            </w:pPr>
          </w:p>
          <w:p>
            <w:pPr>
              <w:pStyle w:val="15"/>
              <w:spacing w:line="360" w:lineRule="exact"/>
              <w:ind w:firstLine="0" w:firstLineChars="0"/>
              <w:jc w:val="left"/>
              <w:rPr>
                <w:rFonts w:hint="eastAsia" w:ascii="宋体" w:hAnsi="宋体"/>
                <w:szCs w:val="21"/>
              </w:rPr>
            </w:pPr>
            <w:r>
              <w:rPr>
                <w:rFonts w:hint="eastAsia" w:ascii="宋体" w:hAnsi="宋体"/>
                <w:szCs w:val="21"/>
              </w:rPr>
              <w:t>公司的员工档案管理实现了一人一档，内容详细，符合要求。</w:t>
            </w:r>
          </w:p>
          <w:p>
            <w:pPr>
              <w:pStyle w:val="15"/>
              <w:spacing w:line="360" w:lineRule="exact"/>
              <w:ind w:firstLine="0" w:firstLineChars="0"/>
              <w:jc w:val="left"/>
              <w:rPr>
                <w:rFonts w:hint="eastAsia" w:ascii="宋体" w:hAnsi="宋体"/>
                <w:szCs w:val="21"/>
              </w:rPr>
            </w:pPr>
            <w:r>
              <w:rPr>
                <w:rFonts w:hint="eastAsia" w:ascii="宋体" w:hAnsi="宋体"/>
                <w:szCs w:val="21"/>
              </w:rPr>
              <w:t>通过沟通得知，组织通过招聘适宜的人员和组织内部员工进行培训的方式提升员工的质量意识水平；</w:t>
            </w:r>
          </w:p>
          <w:p>
            <w:pPr>
              <w:pStyle w:val="15"/>
              <w:spacing w:line="360" w:lineRule="exact"/>
              <w:ind w:firstLine="0" w:firstLineChars="0"/>
              <w:jc w:val="left"/>
              <w:rPr>
                <w:rFonts w:hint="eastAsia" w:ascii="宋体" w:hAnsi="宋体"/>
                <w:szCs w:val="21"/>
              </w:rPr>
            </w:pPr>
            <w:r>
              <w:rPr>
                <w:rFonts w:hint="eastAsia" w:ascii="宋体" w:hAnsi="宋体"/>
                <w:szCs w:val="21"/>
              </w:rPr>
              <w:t>组织以培训、沟通、表扬等形式，激励员工认识到自己从事工作的重要性，使之为实现公司质量目标而努力，作出自己的贡献。</w:t>
            </w:r>
          </w:p>
          <w:p>
            <w:pPr>
              <w:pStyle w:val="15"/>
              <w:spacing w:line="360" w:lineRule="exact"/>
              <w:ind w:firstLine="0" w:firstLineChars="0"/>
              <w:jc w:val="left"/>
              <w:rPr>
                <w:rFonts w:hint="eastAsia" w:ascii="宋体" w:hAnsi="宋体"/>
                <w:szCs w:val="21"/>
              </w:rPr>
            </w:pPr>
            <w:r>
              <w:rPr>
                <w:rFonts w:hint="eastAsia" w:ascii="宋体" w:hAnsi="宋体"/>
                <w:szCs w:val="21"/>
              </w:rPr>
              <w:t>交流得知，组织就质量管理体系的有效性通过相关会议、通知、文件、公告、邮件、培训等进行内部沟通。通过电话、邮件、顾客满意度调查等方式进行相关方沟通；</w:t>
            </w:r>
          </w:p>
          <w:p>
            <w:pPr>
              <w:rPr>
                <w:rFonts w:hint="eastAsia"/>
                <w:szCs w:val="22"/>
                <w:lang w:val="en-US" w:eastAsia="zh-CN"/>
              </w:rPr>
            </w:pPr>
            <w:r>
              <w:rPr>
                <w:rFonts w:hint="eastAsia" w:ascii="宋体" w:hAnsi="宋体"/>
                <w:szCs w:val="21"/>
              </w:rPr>
              <w:t>通过现场观察组织的质量管理体系运行情况发现：组织内外部沟通顺畅；基本满足要求；从现场沟通可知组织的整体质量意识较好，人员能力能基本满足要求。</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47" w:type="dxa"/>
          </w:tcPr>
          <w:p>
            <w:pPr>
              <w:rPr>
                <w:rFonts w:hint="default" w:eastAsia="宋体"/>
                <w:lang w:val="en-US" w:eastAsia="zh-CN"/>
              </w:rPr>
            </w:pPr>
            <w:r>
              <w:rPr>
                <w:rFonts w:hint="eastAsia"/>
                <w:lang w:val="en-US" w:eastAsia="zh-CN"/>
              </w:rPr>
              <w:t>信息交流和沟通</w:t>
            </w:r>
          </w:p>
        </w:tc>
        <w:tc>
          <w:tcPr>
            <w:tcW w:w="2220" w:type="dxa"/>
          </w:tcPr>
          <w:p>
            <w:pPr>
              <w:pStyle w:val="10"/>
              <w:rPr>
                <w:rFonts w:hint="default"/>
                <w:lang w:val="en-US" w:eastAsia="zh-CN"/>
              </w:rPr>
            </w:pPr>
            <w:r>
              <w:rPr>
                <w:rFonts w:hint="eastAsia"/>
                <w:lang w:val="en-US" w:eastAsia="zh-CN"/>
              </w:rPr>
              <w:t>EO7.4</w:t>
            </w:r>
          </w:p>
        </w:tc>
        <w:tc>
          <w:tcPr>
            <w:tcW w:w="10040" w:type="dxa"/>
          </w:tcPr>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rPr>
              <w:t>总经理创造使员工参与管理体系事务的氛围。</w:t>
            </w:r>
          </w:p>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lang w:val="en-US" w:eastAsia="zh-CN"/>
              </w:rPr>
              <w:t>公司综合部</w:t>
            </w:r>
            <w:r>
              <w:rPr>
                <w:rFonts w:hint="eastAsia" w:ascii="宋体" w:hAnsi="宋体" w:cs="Times New Roman"/>
                <w:szCs w:val="21"/>
              </w:rPr>
              <w:t>就质量、环境、职业健康安全信息在企业各层次及相关方进行沟通。员工要了解关于参与的安排事宜，员工要了解谁是职业健康安全的员工代表和指定的体系负责人。</w:t>
            </w:r>
          </w:p>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rPr>
              <w:t>公司鼓励非管理类员工参与下述活动： </w:t>
            </w:r>
          </w:p>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rPr>
              <w:t>—确定他们参与和协商的机制；  —危险源辨识和风险评价； —控制危险源和风险的措施； —识别能力、培训和培训评价的需求；—确定需要沟通的信息以及如何沟通； —确定控制措施及其有效应用； —调查事件和不符合并确定纠正措施； </w:t>
            </w:r>
          </w:p>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rPr>
              <w:t>公司鼓励非管理类员工参与协商下述活动： </w:t>
            </w:r>
          </w:p>
          <w:p>
            <w:pPr>
              <w:pStyle w:val="15"/>
              <w:spacing w:line="360" w:lineRule="exact"/>
              <w:ind w:firstLine="0" w:firstLineChars="0"/>
              <w:jc w:val="left"/>
              <w:rPr>
                <w:rFonts w:hint="eastAsia" w:ascii="宋体" w:hAnsi="宋体" w:cs="Times New Roman"/>
                <w:szCs w:val="21"/>
              </w:rPr>
            </w:pPr>
            <w:r>
              <w:rPr>
                <w:rFonts w:hint="eastAsia" w:ascii="宋体" w:hAnsi="宋体" w:cs="Times New Roman"/>
                <w:szCs w:val="21"/>
              </w:rPr>
              <w:t>—确定相关方的需求和期望； —制定方针；  —适用时分配组织的岗位、职责、责任和权限； —确定如何应用法律法规要求和其他要求； —制定职业健康安全目标；  —确定哪些需要监视、测量和评价； —策划、建立、实施并保持一个或多个审核方案； —建立一个或多个持续改进过程。</w:t>
            </w:r>
          </w:p>
          <w:p>
            <w:pPr>
              <w:pStyle w:val="15"/>
              <w:spacing w:line="360" w:lineRule="exact"/>
              <w:ind w:firstLine="0" w:firstLineChars="0"/>
              <w:jc w:val="left"/>
              <w:rPr>
                <w:rFonts w:hint="eastAsia" w:ascii="宋体" w:hAnsi="宋体" w:cs="Times New Roman"/>
                <w:szCs w:val="21"/>
                <w:lang w:val="en-US" w:eastAsia="zh-CN"/>
              </w:rPr>
            </w:pPr>
            <w:r>
              <w:rPr>
                <w:rFonts w:hint="eastAsia" w:ascii="宋体" w:hAnsi="宋体" w:cs="Times New Roman"/>
                <w:szCs w:val="21"/>
              </w:rPr>
              <w:t>沟通的主要方式有通知、会议、合同、满意度调查表、内部网络、表格传递、视频、QQ、微信等，沟通交流畅通，符合要求。</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eastAsia="宋体"/>
                <w:lang w:val="en-US" w:eastAsia="zh-CN"/>
              </w:rPr>
            </w:pPr>
            <w:r>
              <w:rPr>
                <w:rFonts w:hint="eastAsia"/>
                <w:lang w:val="en-US" w:eastAsia="zh-CN"/>
              </w:rPr>
              <w:t>文件化</w:t>
            </w:r>
            <w:r>
              <w:rPr>
                <w:rFonts w:hint="eastAsia"/>
              </w:rPr>
              <w:t>信息</w:t>
            </w:r>
          </w:p>
        </w:tc>
        <w:tc>
          <w:tcPr>
            <w:tcW w:w="2220" w:type="dxa"/>
          </w:tcPr>
          <w:p>
            <w:pPr>
              <w:pStyle w:val="10"/>
              <w:rPr>
                <w:rFonts w:hint="default"/>
                <w:lang w:val="en-US" w:eastAsia="zh-CN"/>
              </w:rPr>
            </w:pPr>
            <w:r>
              <w:rPr>
                <w:rFonts w:hint="eastAsia"/>
                <w:lang w:val="en-US" w:eastAsia="zh-CN"/>
              </w:rPr>
              <w:t>QEO7.5</w:t>
            </w:r>
          </w:p>
        </w:tc>
        <w:tc>
          <w:tcPr>
            <w:tcW w:w="10040" w:type="dxa"/>
            <w:vAlign w:val="center"/>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公司建立并保持了《文件控制程序》、《记录控制程序》，批准：总经理，</w:t>
            </w:r>
            <w:r>
              <w:rPr>
                <w:rFonts w:hint="eastAsia" w:cs="Times New Roman"/>
                <w:szCs w:val="21"/>
                <w:lang w:val="en-US" w:eastAsia="zh-CN"/>
              </w:rPr>
              <w:t>形英杰</w:t>
            </w:r>
            <w:r>
              <w:rPr>
                <w:rFonts w:hint="eastAsia" w:ascii="Times New Roman" w:hAnsi="Times New Roman" w:cs="Times New Roman"/>
                <w:szCs w:val="21"/>
                <w:lang w:val="en-US" w:eastAsia="zh-CN"/>
              </w:rPr>
              <w:t>；对成文信息的控制进行了策划和规定；</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2，抽检:</w:t>
            </w:r>
            <w:r>
              <w:rPr>
                <w:rFonts w:hint="eastAsia" w:cs="Times New Roman"/>
                <w:szCs w:val="21"/>
                <w:lang w:val="en-US" w:eastAsia="zh-CN"/>
              </w:rPr>
              <w:t>综合部</w:t>
            </w:r>
            <w:r>
              <w:rPr>
                <w:rFonts w:hint="eastAsia" w:ascii="Times New Roman" w:hAnsi="Times New Roman" w:cs="Times New Roman"/>
                <w:szCs w:val="21"/>
                <w:lang w:val="en-US" w:eastAsia="zh-CN"/>
              </w:rPr>
              <w:t>文件均为有效版本,并经相关人员批准，文件以文件名称/编号/版本号进行标识，如：管理手册,编号</w:t>
            </w:r>
            <w:r>
              <w:rPr>
                <w:rFonts w:hint="eastAsia" w:ascii="Times New Roman" w:hAnsi="Times New Roman" w:eastAsia="宋体" w:cs="Times New Roman"/>
                <w:szCs w:val="21"/>
                <w:lang w:val="en-US" w:eastAsia="zh-CN"/>
              </w:rPr>
              <w:t>YJS/QEO-SC-2020-A/0，</w:t>
            </w:r>
            <w:r>
              <w:rPr>
                <w:rFonts w:hint="eastAsia" w:ascii="Times New Roman" w:hAnsi="Times New Roman" w:cs="Times New Roman"/>
                <w:szCs w:val="21"/>
                <w:lang w:val="en-US" w:eastAsia="zh-CN"/>
              </w:rPr>
              <w:t>生效日期：20</w:t>
            </w:r>
            <w:r>
              <w:rPr>
                <w:rFonts w:hint="eastAsia" w:cs="Times New Roman"/>
                <w:szCs w:val="21"/>
                <w:lang w:val="en-US" w:eastAsia="zh-CN"/>
              </w:rPr>
              <w:t>20</w:t>
            </w:r>
            <w:r>
              <w:rPr>
                <w:rFonts w:hint="eastAsia" w:ascii="Times New Roman" w:hAnsi="Times New Roman" w:cs="Times New Roman"/>
                <w:szCs w:val="21"/>
                <w:lang w:val="en-US" w:eastAsia="zh-CN"/>
              </w:rPr>
              <w:t>/</w:t>
            </w:r>
            <w:r>
              <w:rPr>
                <w:rFonts w:hint="eastAsia" w:cs="Times New Roman"/>
                <w:szCs w:val="21"/>
                <w:lang w:val="en-US" w:eastAsia="zh-CN"/>
              </w:rPr>
              <w:t>07</w:t>
            </w:r>
            <w:r>
              <w:rPr>
                <w:rFonts w:hint="eastAsia" w:ascii="Times New Roman" w:hAnsi="Times New Roman" w:cs="Times New Roman"/>
                <w:szCs w:val="21"/>
                <w:lang w:val="en-US" w:eastAsia="zh-CN"/>
              </w:rPr>
              <w:t>/</w:t>
            </w:r>
            <w:r>
              <w:rPr>
                <w:rFonts w:hint="eastAsia" w:cs="Times New Roman"/>
                <w:szCs w:val="21"/>
                <w:lang w:val="en-US" w:eastAsia="zh-CN"/>
              </w:rPr>
              <w:t>6</w:t>
            </w:r>
            <w:r>
              <w:rPr>
                <w:rFonts w:hint="eastAsia" w:ascii="Times New Roman" w:hAnsi="Times New Roman" w:cs="Times New Roman"/>
                <w:szCs w:val="21"/>
                <w:lang w:val="en-US" w:eastAsia="zh-CN"/>
              </w:rPr>
              <w:t>。程序文件2</w:t>
            </w:r>
            <w:r>
              <w:rPr>
                <w:rFonts w:hint="eastAsia" w:cs="Times New Roman"/>
                <w:szCs w:val="21"/>
                <w:lang w:val="en-US" w:eastAsia="zh-CN"/>
              </w:rPr>
              <w:t>8</w:t>
            </w:r>
            <w:r>
              <w:rPr>
                <w:rFonts w:hint="eastAsia" w:ascii="Times New Roman" w:hAnsi="Times New Roman" w:cs="Times New Roman"/>
                <w:szCs w:val="21"/>
                <w:lang w:val="en-US" w:eastAsia="zh-CN"/>
              </w:rPr>
              <w:t>个, 编号</w:t>
            </w:r>
            <w:r>
              <w:rPr>
                <w:rFonts w:hint="eastAsia" w:ascii="Times New Roman" w:hAnsi="Times New Roman" w:eastAsia="宋体" w:cs="Times New Roman"/>
                <w:szCs w:val="21"/>
                <w:lang w:val="en-US" w:eastAsia="zh-CN"/>
              </w:rPr>
              <w:t>YJS/QEO-CX-2020-A/0</w:t>
            </w:r>
            <w:r>
              <w:rPr>
                <w:rFonts w:hint="eastAsia" w:ascii="Times New Roman" w:hAnsi="Times New Roman" w:cs="Times New Roman"/>
                <w:szCs w:val="21"/>
                <w:lang w:val="en-US" w:eastAsia="zh-CN"/>
              </w:rPr>
              <w:t>,生效日期：20</w:t>
            </w:r>
            <w:r>
              <w:rPr>
                <w:rFonts w:hint="eastAsia" w:cs="Times New Roman"/>
                <w:szCs w:val="21"/>
                <w:lang w:val="en-US" w:eastAsia="zh-CN"/>
              </w:rPr>
              <w:t>20</w:t>
            </w:r>
            <w:r>
              <w:rPr>
                <w:rFonts w:hint="eastAsia" w:ascii="Times New Roman" w:hAnsi="Times New Roman" w:cs="Times New Roman"/>
                <w:szCs w:val="21"/>
                <w:lang w:val="en-US" w:eastAsia="zh-CN"/>
              </w:rPr>
              <w:t>/</w:t>
            </w:r>
            <w:r>
              <w:rPr>
                <w:rFonts w:hint="eastAsia" w:cs="Times New Roman"/>
                <w:szCs w:val="21"/>
                <w:lang w:val="en-US" w:eastAsia="zh-CN"/>
              </w:rPr>
              <w:t>07</w:t>
            </w:r>
            <w:r>
              <w:rPr>
                <w:rFonts w:hint="eastAsia" w:ascii="Times New Roman" w:hAnsi="Times New Roman" w:cs="Times New Roman"/>
                <w:szCs w:val="21"/>
                <w:lang w:val="en-US" w:eastAsia="zh-CN"/>
              </w:rPr>
              <w:t>/</w:t>
            </w:r>
            <w:r>
              <w:rPr>
                <w:rFonts w:hint="eastAsia" w:cs="Times New Roman"/>
                <w:szCs w:val="21"/>
                <w:lang w:val="en-US" w:eastAsia="zh-CN"/>
              </w:rPr>
              <w:t>6</w:t>
            </w:r>
            <w:r>
              <w:rPr>
                <w:rFonts w:hint="eastAsia" w:ascii="Times New Roman" w:hAnsi="Times New Roman" w:cs="Times New Roman"/>
                <w:szCs w:val="21"/>
                <w:lang w:val="en-US" w:eastAsia="zh-CN"/>
              </w:rPr>
              <w:t>。</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3,查：受控文件清单，其中有管理手册1个、程序文件2</w:t>
            </w:r>
            <w:r>
              <w:rPr>
                <w:rFonts w:hint="eastAsia" w:cs="Times New Roman"/>
                <w:szCs w:val="21"/>
                <w:lang w:val="en-US" w:eastAsia="zh-CN"/>
              </w:rPr>
              <w:t>8</w:t>
            </w:r>
            <w:r>
              <w:rPr>
                <w:rFonts w:hint="eastAsia" w:ascii="Times New Roman" w:hAnsi="Times New Roman" w:cs="Times New Roman"/>
                <w:szCs w:val="21"/>
                <w:lang w:val="en-US" w:eastAsia="zh-CN"/>
              </w:rPr>
              <w:t>个、三层文件1</w:t>
            </w:r>
            <w:r>
              <w:rPr>
                <w:rFonts w:hint="eastAsia" w:cs="Times New Roman"/>
                <w:szCs w:val="21"/>
                <w:lang w:val="en-US" w:eastAsia="zh-CN"/>
              </w:rPr>
              <w:t>8</w:t>
            </w:r>
            <w:r>
              <w:rPr>
                <w:rFonts w:hint="eastAsia" w:ascii="Times New Roman" w:hAnsi="Times New Roman" w:cs="Times New Roman"/>
                <w:szCs w:val="21"/>
                <w:lang w:val="en-US" w:eastAsia="zh-CN"/>
              </w:rPr>
              <w:t>个、外来文件</w:t>
            </w:r>
            <w:r>
              <w:rPr>
                <w:rFonts w:hint="eastAsia" w:cs="Times New Roman"/>
                <w:szCs w:val="21"/>
                <w:lang w:val="en-US" w:eastAsia="zh-CN"/>
              </w:rPr>
              <w:t>9</w:t>
            </w:r>
            <w:r>
              <w:rPr>
                <w:rFonts w:hint="eastAsia" w:ascii="Times New Roman" w:hAnsi="Times New Roman" w:cs="Times New Roman"/>
                <w:szCs w:val="21"/>
                <w:lang w:val="en-US" w:eastAsia="zh-CN"/>
              </w:rPr>
              <w:t>个等；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组织对文件进行了识别和保持，确保文件能为需要的人员及时获取；提供了《文件发放回收记录表》，将体系文件发放到各部门。有各部门领用人员签字。提供了《记录清单》，涉及一体化管理体系的记录有81个，对记录的编号也进行了规定，如：会议记录：编号：QR-5.6-02，顾客满意度调查表，编号：QR-8.2.1-01</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编号具有唯一性。</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查阅了记录收集情况，以上两种记录收集情况较好，记录清晰，保存在文件夹中，并存放于文件柜中，保存符合要求。查阅其它记录，</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对于外来文件能够进行标识，并控制分发范围。</w:t>
            </w:r>
          </w:p>
          <w:p>
            <w:pPr>
              <w:jc w:val="both"/>
              <w:rPr>
                <w:rFonts w:hint="eastAsia"/>
                <w:szCs w:val="22"/>
                <w:lang w:val="en-US" w:eastAsia="zh-CN"/>
              </w:rPr>
            </w:pPr>
            <w:r>
              <w:rPr>
                <w:rFonts w:hint="eastAsia" w:ascii="Times New Roman" w:hAnsi="Times New Roman" w:cs="Times New Roman"/>
                <w:szCs w:val="21"/>
                <w:lang w:val="en-US" w:eastAsia="zh-CN"/>
              </w:rPr>
              <w:t>基本符合要求，文件化信息、记录控制没有变化。</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运行的策划和控制</w:t>
            </w:r>
          </w:p>
        </w:tc>
        <w:tc>
          <w:tcPr>
            <w:tcW w:w="2220" w:type="dxa"/>
          </w:tcPr>
          <w:p>
            <w:pPr>
              <w:pStyle w:val="10"/>
              <w:rPr>
                <w:rFonts w:hint="eastAsia"/>
                <w:lang w:val="en-US" w:eastAsia="zh-CN"/>
              </w:rPr>
            </w:pPr>
            <w:r>
              <w:rPr>
                <w:rFonts w:hint="eastAsia"/>
                <w:lang w:val="en-US" w:eastAsia="zh-CN"/>
              </w:rPr>
              <w:t>E8.1</w:t>
            </w:r>
          </w:p>
          <w:p>
            <w:pPr>
              <w:pStyle w:val="10"/>
              <w:rPr>
                <w:rFonts w:hint="default"/>
                <w:lang w:val="en-US" w:eastAsia="zh-CN"/>
              </w:rPr>
            </w:pPr>
            <w:r>
              <w:rPr>
                <w:rFonts w:hint="eastAsia"/>
                <w:lang w:val="en-US" w:eastAsia="zh-CN"/>
              </w:rPr>
              <w:t>O8.1.2</w:t>
            </w:r>
          </w:p>
        </w:tc>
        <w:tc>
          <w:tcPr>
            <w:tcW w:w="10040" w:type="dxa"/>
            <w:vAlign w:val="center"/>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总经理指导业务部组织相关部门对服务实现、环境、职业健康安全运行控制所需的过程及子过程的顺序和相互关系进行策划，并对服务提供的过程、重要环境因素、重大危险源、风险有关的运行和活动进行控制，确保管理方针、目标、指标的实现。策划确定下列内容：a）应达到的质量、环境、职业健康安全目标、指标要求；b）针对服务确定过程及重要环境因素、危险源和风险因素，并建立销售服务所需要的文件，以及所需提供的资源和设施；c）依据服务实现过程和活动的特点，确定验证、确认、监视、测量和检验需求的活动以及接收准则；d）保存服务实现过程和活动满足规定要求的记录；</w:t>
            </w:r>
          </w:p>
          <w:p>
            <w:pPr>
              <w:jc w:val="both"/>
              <w:rPr>
                <w:rFonts w:hint="eastAsia" w:ascii="Times New Roman" w:hAnsi="Times New Roman" w:cs="Times New Roman"/>
                <w:szCs w:val="21"/>
                <w:lang w:val="en-US" w:eastAsia="zh-CN"/>
              </w:rPr>
            </w:pP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方面：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公司的环境因素为办公用废纸由回收公司进行回收、硒鼓由供应商进行回收，以旧换新。</w:t>
            </w:r>
          </w:p>
          <w:p>
            <w:pPr>
              <w:jc w:val="both"/>
              <w:rPr>
                <w:rFonts w:hint="eastAsia" w:ascii="Times New Roman" w:hAnsi="Times New Roman" w:cs="Times New Roman"/>
                <w:szCs w:val="21"/>
                <w:lang w:val="en-US" w:eastAsia="zh-CN"/>
              </w:rPr>
            </w:pP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职业健康安全方面：</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1.火灾：建立《消防管理制度》、《应急措施》，严格进行检查、监督与管理，每年委托119消防服务站组织消防演习，并强化日常教育</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2.触电：加强日常教育，严格按照操作规程进运行，执行安全责任制，并严格执行《安全操作规程》。</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综合部建立了环境和职业健康安全检查制度，提供了〈环境和职业健康安全检查表〉，每月对环境和职业健康安全进行检查。</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3、交通安全，开车时注意交通安全。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抽查2020年</w:t>
            </w:r>
            <w:r>
              <w:rPr>
                <w:rFonts w:hint="eastAsia" w:cs="Times New Roman"/>
                <w:szCs w:val="21"/>
                <w:lang w:val="en-US" w:eastAsia="zh-CN"/>
              </w:rPr>
              <w:t>8</w:t>
            </w:r>
            <w:r>
              <w:rPr>
                <w:rFonts w:hint="eastAsia" w:ascii="Times New Roman" w:hAnsi="Times New Roman" w:cs="Times New Roman"/>
                <w:szCs w:val="21"/>
                <w:lang w:val="en-US" w:eastAsia="zh-CN"/>
              </w:rPr>
              <w:t>月13日的检查表，检查人：</w:t>
            </w:r>
            <w:r>
              <w:rPr>
                <w:rFonts w:hint="eastAsia" w:cs="Times New Roman"/>
                <w:szCs w:val="21"/>
                <w:lang w:val="en-US" w:eastAsia="zh-CN"/>
              </w:rPr>
              <w:t>形英杰</w:t>
            </w:r>
            <w:r>
              <w:rPr>
                <w:rFonts w:hint="eastAsia" w:ascii="Times New Roman" w:hAnsi="Times New Roman" w:cs="Times New Roman"/>
                <w:szCs w:val="21"/>
                <w:lang w:val="en-US" w:eastAsia="zh-CN"/>
              </w:rPr>
              <w:t>。检查项目共6项：目测综合部内照明、电线、管线是否有老化破皮现象，办公环境是否干净整洁。门窗是否完好。消防器材封存是否完好。综合部人员是否知道逃生通道，是否对来访客人进行告知等。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抽查-固体废物处理记录   编号：JL-7.7-03</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时间2020.6.10 废纸  1.5Kg 处理方式：物业公司回收。</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时间2020.</w:t>
            </w:r>
            <w:r>
              <w:rPr>
                <w:rFonts w:hint="eastAsia" w:cs="Times New Roman"/>
                <w:szCs w:val="21"/>
                <w:lang w:val="en-US" w:eastAsia="zh-CN"/>
              </w:rPr>
              <w:t>8</w:t>
            </w:r>
            <w:r>
              <w:rPr>
                <w:rFonts w:hint="eastAsia" w:ascii="Times New Roman" w:hAnsi="Times New Roman" w:cs="Times New Roman"/>
                <w:szCs w:val="21"/>
                <w:lang w:val="en-US" w:eastAsia="zh-CN"/>
              </w:rPr>
              <w:t>.15硒鼓  1个 处理方式：供应商以旧换新。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在风险控制方面策划了：风险和机遇控制程序、环境绩效检测控制程序管理制度、应急准备及响应程序等。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4、查看《环境/安全检查记录表》。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检查时间：2020年</w:t>
            </w:r>
            <w:r>
              <w:rPr>
                <w:rFonts w:hint="eastAsia" w:cs="Times New Roman"/>
                <w:szCs w:val="21"/>
                <w:lang w:val="en-US" w:eastAsia="zh-CN"/>
              </w:rPr>
              <w:t>8</w:t>
            </w:r>
            <w:r>
              <w:rPr>
                <w:rFonts w:hint="eastAsia" w:ascii="Times New Roman" w:hAnsi="Times New Roman" w:cs="Times New Roman"/>
                <w:szCs w:val="21"/>
                <w:lang w:val="en-US" w:eastAsia="zh-CN"/>
              </w:rPr>
              <w:t>月28日；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检查项目：办公废水、办公固废丢弃、水电消耗、安全检查、一般因素等。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检查情况：销售业务方面没有问题。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检查人员：</w:t>
            </w:r>
            <w:r>
              <w:rPr>
                <w:rFonts w:hint="eastAsia" w:cs="Times New Roman"/>
                <w:szCs w:val="21"/>
                <w:lang w:val="en-US" w:eastAsia="zh-CN"/>
              </w:rPr>
              <w:t>形英杰</w:t>
            </w:r>
            <w:r>
              <w:rPr>
                <w:rFonts w:hint="eastAsia" w:ascii="Times New Roman" w:hAnsi="Times New Roman" w:cs="Times New Roman"/>
                <w:szCs w:val="21"/>
                <w:lang w:val="en-US" w:eastAsia="zh-CN"/>
              </w:rPr>
              <w:t xml:space="preserve">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3、查环境安全检查情况统计表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检查内容：</w:t>
            </w:r>
            <w:r>
              <w:rPr>
                <w:rFonts w:hint="eastAsia" w:cs="Times New Roman"/>
                <w:szCs w:val="21"/>
                <w:lang w:val="en-US" w:eastAsia="zh-CN"/>
              </w:rPr>
              <w:t>综合部</w:t>
            </w:r>
            <w:r>
              <w:rPr>
                <w:rFonts w:hint="eastAsia" w:ascii="Times New Roman" w:hAnsi="Times New Roman" w:cs="Times New Roman"/>
                <w:szCs w:val="21"/>
                <w:lang w:val="en-US" w:eastAsia="zh-CN"/>
              </w:rPr>
              <w:t>安全检查、</w:t>
            </w:r>
            <w:r>
              <w:rPr>
                <w:rFonts w:hint="eastAsia" w:cs="Times New Roman"/>
                <w:szCs w:val="21"/>
                <w:lang w:val="en-US" w:eastAsia="zh-CN"/>
              </w:rPr>
              <w:t>综合部</w:t>
            </w:r>
            <w:r>
              <w:rPr>
                <w:rFonts w:hint="eastAsia" w:ascii="Times New Roman" w:hAnsi="Times New Roman" w:cs="Times New Roman"/>
                <w:szCs w:val="21"/>
                <w:lang w:val="en-US" w:eastAsia="zh-CN"/>
              </w:rPr>
              <w:t>供电系统安全检查、</w:t>
            </w:r>
            <w:r>
              <w:rPr>
                <w:rFonts w:hint="eastAsia" w:cs="Times New Roman"/>
                <w:szCs w:val="21"/>
                <w:lang w:val="en-US" w:eastAsia="zh-CN"/>
              </w:rPr>
              <w:t>综合部</w:t>
            </w:r>
            <w:r>
              <w:rPr>
                <w:rFonts w:hint="eastAsia" w:ascii="Times New Roman" w:hAnsi="Times New Roman" w:cs="Times New Roman"/>
                <w:szCs w:val="21"/>
                <w:lang w:val="en-US" w:eastAsia="zh-CN"/>
              </w:rPr>
              <w:t>及办公区安全检查等。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检查结果及处理：生产现场安全问题，当即整改。</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检查人：</w:t>
            </w:r>
            <w:r>
              <w:rPr>
                <w:rFonts w:hint="eastAsia" w:cs="Times New Roman"/>
                <w:szCs w:val="21"/>
                <w:lang w:val="en-US" w:eastAsia="zh-CN"/>
              </w:rPr>
              <w:t>形英杰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检查时间：2020年</w:t>
            </w:r>
            <w:r>
              <w:rPr>
                <w:rFonts w:hint="eastAsia" w:cs="Times New Roman"/>
                <w:szCs w:val="21"/>
                <w:lang w:val="en-US" w:eastAsia="zh-CN"/>
              </w:rPr>
              <w:t>9</w:t>
            </w:r>
            <w:r>
              <w:rPr>
                <w:rFonts w:hint="eastAsia" w:ascii="Times New Roman" w:hAnsi="Times New Roman" w:cs="Times New Roman"/>
                <w:szCs w:val="21"/>
                <w:lang w:val="en-US" w:eastAsia="zh-CN"/>
              </w:rPr>
              <w:t>月1日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4、查用电安全检查记录</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检查时间：2020.</w:t>
            </w:r>
            <w:r>
              <w:rPr>
                <w:rFonts w:hint="eastAsia" w:cs="Times New Roman"/>
                <w:szCs w:val="21"/>
                <w:lang w:val="en-US" w:eastAsia="zh-CN"/>
              </w:rPr>
              <w:t>10</w:t>
            </w:r>
            <w:r>
              <w:rPr>
                <w:rFonts w:hint="eastAsia" w:ascii="Times New Roman" w:hAnsi="Times New Roman" w:cs="Times New Roman"/>
                <w:szCs w:val="21"/>
                <w:lang w:val="en-US" w:eastAsia="zh-CN"/>
              </w:rPr>
              <w:t>.1</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检查内容：用电安全等7项。</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检查结果：合格</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检查人：</w:t>
            </w:r>
            <w:r>
              <w:rPr>
                <w:rFonts w:hint="eastAsia" w:cs="Times New Roman"/>
                <w:szCs w:val="21"/>
                <w:lang w:val="en-US" w:eastAsia="zh-CN"/>
              </w:rPr>
              <w:t>形英杰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5、安全检查评分记录表。每月20日组织一次检查。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检查项目：安全管理机构及安全责任制、安全管理、职业健康教育培训、资金投入、消防安全、劳动保护、办公环境安全管理、应急救援等。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抽查检查情况：5月份得分97分；6月份97分</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检查人：</w:t>
            </w:r>
            <w:r>
              <w:rPr>
                <w:rFonts w:hint="eastAsia" w:cs="Times New Roman"/>
                <w:szCs w:val="21"/>
                <w:lang w:val="en-US" w:eastAsia="zh-CN"/>
              </w:rPr>
              <w:t>形英杰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6、查体系运行检查记录表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检查人：</w:t>
            </w:r>
            <w:r>
              <w:rPr>
                <w:rFonts w:hint="eastAsia" w:cs="Times New Roman"/>
                <w:szCs w:val="21"/>
                <w:lang w:val="en-US" w:eastAsia="zh-CN"/>
              </w:rPr>
              <w:t>形英杰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检查日期：2020年</w:t>
            </w:r>
            <w:r>
              <w:rPr>
                <w:rFonts w:hint="eastAsia" w:cs="Times New Roman"/>
                <w:szCs w:val="21"/>
                <w:lang w:val="en-US" w:eastAsia="zh-CN"/>
              </w:rPr>
              <w:t>11</w:t>
            </w:r>
            <w:r>
              <w:rPr>
                <w:rFonts w:hint="eastAsia" w:ascii="Times New Roman" w:hAnsi="Times New Roman" w:cs="Times New Roman"/>
                <w:szCs w:val="21"/>
                <w:lang w:val="en-US" w:eastAsia="zh-CN"/>
              </w:rPr>
              <w:t>月16日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运行策划和控制符合要求；</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lang w:val="en-US" w:eastAsia="zh-CN"/>
              </w:rPr>
            </w:pPr>
            <w:r>
              <w:rPr>
                <w:rFonts w:hint="eastAsia"/>
                <w:lang w:val="en-US" w:eastAsia="zh-CN"/>
              </w:rPr>
              <w:t>变更的管理</w:t>
            </w:r>
          </w:p>
        </w:tc>
        <w:tc>
          <w:tcPr>
            <w:tcW w:w="2220" w:type="dxa"/>
          </w:tcPr>
          <w:p>
            <w:pPr>
              <w:pStyle w:val="10"/>
              <w:rPr>
                <w:rFonts w:hint="eastAsia"/>
                <w:lang w:val="en-US" w:eastAsia="zh-CN"/>
              </w:rPr>
            </w:pPr>
            <w:r>
              <w:rPr>
                <w:rFonts w:hint="eastAsia"/>
                <w:lang w:val="en-US" w:eastAsia="zh-CN"/>
              </w:rPr>
              <w:t>O8.1.3</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公司建立了用于实施和控制已策划的影响职业健康安全绩效的临时和永久变更的过程， 包括：</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a) 新产品、服务和过程或现有产品、服务和过程变化，包括：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—工作场所地点和环境； —工作组织； —工作条件； —设备； —劳动力； </w:t>
            </w:r>
          </w:p>
          <w:p>
            <w:pPr>
              <w:jc w:val="both"/>
              <w:rPr>
                <w:rFonts w:hint="eastAsia" w:ascii="Times New Roman" w:hAnsi="Times New Roman" w:cs="Times New Roman"/>
                <w:szCs w:val="21"/>
                <w:lang w:val="en-US" w:eastAsia="zh-CN"/>
              </w:rPr>
            </w:pPr>
            <w:r>
              <w:rPr>
                <w:rFonts w:hint="default" w:ascii="Times New Roman" w:hAnsi="Times New Roman" w:cs="Times New Roman"/>
                <w:szCs w:val="21"/>
                <w:lang w:val="en-US" w:eastAsia="zh-CN"/>
              </w:rPr>
              <w:t xml:space="preserve">b) </w:t>
            </w:r>
            <w:r>
              <w:rPr>
                <w:rFonts w:hint="eastAsia" w:ascii="Times New Roman" w:hAnsi="Times New Roman" w:cs="Times New Roman"/>
                <w:szCs w:val="21"/>
                <w:lang w:val="en-US" w:eastAsia="zh-CN"/>
              </w:rPr>
              <w:t xml:space="preserve">法律法规和其他要求的变化； </w:t>
            </w:r>
          </w:p>
          <w:p>
            <w:pPr>
              <w:jc w:val="both"/>
              <w:rPr>
                <w:rFonts w:hint="eastAsia" w:ascii="Times New Roman" w:hAnsi="Times New Roman" w:cs="Times New Roman"/>
                <w:szCs w:val="21"/>
                <w:lang w:val="en-US" w:eastAsia="zh-CN"/>
              </w:rPr>
            </w:pPr>
            <w:r>
              <w:rPr>
                <w:rFonts w:hint="default" w:ascii="Times New Roman" w:hAnsi="Times New Roman" w:cs="Times New Roman"/>
                <w:szCs w:val="21"/>
                <w:lang w:val="en-US" w:eastAsia="zh-CN"/>
              </w:rPr>
              <w:t xml:space="preserve">c) </w:t>
            </w:r>
            <w:r>
              <w:rPr>
                <w:rFonts w:hint="eastAsia" w:ascii="Times New Roman" w:hAnsi="Times New Roman" w:cs="Times New Roman"/>
                <w:szCs w:val="21"/>
                <w:lang w:val="en-US" w:eastAsia="zh-CN"/>
              </w:rPr>
              <w:t xml:space="preserve">关于危险源和相关职业健康安全风险知识和信息的变化； </w:t>
            </w:r>
          </w:p>
          <w:p>
            <w:pPr>
              <w:jc w:val="both"/>
              <w:rPr>
                <w:rFonts w:hint="eastAsia" w:ascii="Times New Roman" w:hAnsi="Times New Roman" w:cs="Times New Roman"/>
                <w:szCs w:val="21"/>
                <w:lang w:val="en-US" w:eastAsia="zh-CN"/>
              </w:rPr>
            </w:pPr>
            <w:r>
              <w:rPr>
                <w:rFonts w:hint="default" w:ascii="Times New Roman" w:hAnsi="Times New Roman" w:cs="Times New Roman"/>
                <w:szCs w:val="21"/>
                <w:lang w:val="en-US" w:eastAsia="zh-CN"/>
              </w:rPr>
              <w:t xml:space="preserve">d) </w:t>
            </w:r>
            <w:r>
              <w:rPr>
                <w:rFonts w:hint="eastAsia" w:ascii="Times New Roman" w:hAnsi="Times New Roman" w:cs="Times New Roman"/>
                <w:szCs w:val="21"/>
                <w:lang w:val="en-US" w:eastAsia="zh-CN"/>
              </w:rPr>
              <w:t xml:space="preserve">知识和技术的开发。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公司评审了非预期变更的后果，必要时，采取措施消除任何有害影响。 </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经现场询查，公司自体系运行以来，没有进行过变更。</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应急准备和相应</w:t>
            </w:r>
          </w:p>
        </w:tc>
        <w:tc>
          <w:tcPr>
            <w:tcW w:w="2220" w:type="dxa"/>
          </w:tcPr>
          <w:p>
            <w:pPr>
              <w:pStyle w:val="10"/>
              <w:rPr>
                <w:rFonts w:hint="default"/>
                <w:lang w:val="en-US" w:eastAsia="zh-CN"/>
              </w:rPr>
            </w:pPr>
            <w:r>
              <w:rPr>
                <w:rFonts w:hint="eastAsia"/>
                <w:lang w:val="en-US" w:eastAsia="zh-CN"/>
              </w:rPr>
              <w:t>EO8.2</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提供《2020年应急救援预案演练计划》，有组织人员结构、人员组成、通讯联络、应急物资准备、应急处置程序、注意事项等。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编制：</w:t>
            </w:r>
            <w:r>
              <w:rPr>
                <w:rFonts w:hint="eastAsia" w:cs="Times New Roman"/>
                <w:szCs w:val="21"/>
                <w:lang w:val="en-US" w:eastAsia="zh-CN"/>
              </w:rPr>
              <w:t>综合部</w:t>
            </w:r>
            <w:r>
              <w:rPr>
                <w:rFonts w:hint="eastAsia" w:ascii="Times New Roman" w:hAnsi="Times New Roman" w:cs="Times New Roman"/>
                <w:szCs w:val="21"/>
                <w:lang w:val="en-US" w:eastAsia="zh-CN"/>
              </w:rPr>
              <w:t xml:space="preserve">    审批：</w:t>
            </w:r>
            <w:r>
              <w:rPr>
                <w:rFonts w:hint="eastAsia" w:cs="Times New Roman"/>
                <w:szCs w:val="21"/>
                <w:lang w:val="en-US" w:eastAsia="zh-CN"/>
              </w:rPr>
              <w:t>形英杰</w:t>
            </w:r>
            <w:r>
              <w:rPr>
                <w:rFonts w:hint="eastAsia" w:ascii="Times New Roman" w:hAnsi="Times New Roman" w:cs="Times New Roman"/>
                <w:szCs w:val="21"/>
                <w:lang w:val="en-US" w:eastAsia="zh-CN"/>
              </w:rPr>
              <w:t xml:space="preserve">      时间：时间：</w:t>
            </w: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日09时10分</w:t>
            </w:r>
            <w:r>
              <w:rPr>
                <w:rFonts w:hint="eastAsia" w:ascii="Times New Roman" w:hAnsi="Times New Roman" w:cs="Times New Roman"/>
                <w:szCs w:val="21"/>
                <w:lang w:val="en-US" w:eastAsia="zh-CN"/>
              </w:rPr>
              <w:t>，</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提供《火灾应急演练记录》，有演习项目：灭火、逃生自救，</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地点：</w:t>
            </w:r>
            <w:r>
              <w:rPr>
                <w:rFonts w:hint="eastAsia" w:cs="Times New Roman"/>
                <w:szCs w:val="21"/>
                <w:lang w:val="en-US" w:eastAsia="zh-CN"/>
              </w:rPr>
              <w:t>综合部</w:t>
            </w:r>
            <w:r>
              <w:rPr>
                <w:rFonts w:hint="eastAsia" w:ascii="Times New Roman" w:hAnsi="Times New Roman" w:cs="Times New Roman"/>
                <w:szCs w:val="21"/>
                <w:lang w:val="en-US" w:eastAsia="zh-CN"/>
              </w:rPr>
              <w:t>，时间：</w:t>
            </w: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日09时10分</w:t>
            </w:r>
            <w:r>
              <w:rPr>
                <w:rFonts w:hint="eastAsia" w:ascii="Times New Roman" w:hAnsi="Times New Roman" w:cs="Times New Roman"/>
                <w:szCs w:val="21"/>
                <w:lang w:val="en-US" w:eastAsia="zh-CN"/>
              </w:rPr>
              <w:t>。</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有演练过程记录，演练存在的问题及整改措施等。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记录人：</w:t>
            </w:r>
            <w:r>
              <w:rPr>
                <w:rFonts w:hint="eastAsia" w:ascii="Times New Roman" w:hAnsi="Times New Roman" w:eastAsia="宋体" w:cs="Times New Roman"/>
                <w:szCs w:val="21"/>
                <w:lang w:val="en-US" w:eastAsia="zh-CN"/>
              </w:rPr>
              <w:t>赵红霞</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有火灾应急响应演练评审，对演练中发现的问题要求整改。</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评价人：</w:t>
            </w:r>
            <w:r>
              <w:rPr>
                <w:rFonts w:hint="eastAsia" w:cs="Times New Roman"/>
                <w:szCs w:val="21"/>
                <w:lang w:val="en-US" w:eastAsia="zh-CN"/>
              </w:rPr>
              <w:t>形英杰</w:t>
            </w:r>
            <w:r>
              <w:rPr>
                <w:rFonts w:hint="eastAsia" w:ascii="Times New Roman" w:hAnsi="Times New Roman" w:cs="Times New Roman"/>
                <w:szCs w:val="21"/>
                <w:lang w:val="en-US" w:eastAsia="zh-CN"/>
              </w:rPr>
              <w:t xml:space="preserve">    时间：</w:t>
            </w: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Times New Roman" w:hAnsi="Times New Roman" w:cs="Times New Roman"/>
                <w:szCs w:val="21"/>
                <w:lang w:val="en-US" w:eastAsia="zh-CN"/>
              </w:rPr>
              <w:t>。</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lang w:val="en-US" w:eastAsia="zh-CN"/>
              </w:rPr>
            </w:pPr>
            <w:r>
              <w:rPr>
                <w:rFonts w:hint="eastAsia" w:ascii="宋体" w:hAnsi="宋体" w:cs="Arial"/>
                <w:sz w:val="21"/>
                <w:szCs w:val="21"/>
              </w:rPr>
              <w:t>分析与评价</w:t>
            </w:r>
          </w:p>
        </w:tc>
        <w:tc>
          <w:tcPr>
            <w:tcW w:w="2220" w:type="dxa"/>
          </w:tcPr>
          <w:p>
            <w:pPr>
              <w:pStyle w:val="10"/>
              <w:rPr>
                <w:rFonts w:hint="default"/>
                <w:lang w:val="en-US" w:eastAsia="zh-CN"/>
              </w:rPr>
            </w:pPr>
            <w:r>
              <w:rPr>
                <w:rFonts w:hint="eastAsia"/>
                <w:lang w:val="en-US" w:eastAsia="zh-CN"/>
              </w:rPr>
              <w:t>Q9.1.3</w:t>
            </w:r>
          </w:p>
        </w:tc>
        <w:tc>
          <w:tcPr>
            <w:tcW w:w="10040" w:type="dxa"/>
          </w:tcPr>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技术质量部应确定数据分析的应用场所及应用方法，各部门应收集和分析适用数据，以确定质量/环境/职业健康安全管理体系的适用性和有效性，并规定采取的改进的措施。包括通过监视和测量活动以及其他相关来源所产生的数据。各部门配合技质部负责提供有关本部门收集的相关数据提供给技质部集中统计和分析，并由技质部形成分析报告，上报总经理作为公司统筹规划及管理评审的输入有效信息可利用。</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a）检测检定服务的符合性；（日常工作检查及目标考核结果）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b）顾客满意程度；（日常回访及定期的满意度调查结果）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c）质量/环境/职业健康安全管理体系的绩效和有效性；（QEO管理体系的审核结果）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d）策划是否得到有效实施；（目标考核结果及日常检查、内审和管理评审）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e）针对风险和机遇所采取措施的有效性；（公司及各部门完成风险与机遇的分析与评价结果）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f）外部供方/外包方的绩效；（首次评价、再评价结果）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g）质量/环境/职业健康安全管理体系改进的需求。（管理评审的输出结果及决策）</w:t>
            </w:r>
          </w:p>
        </w:tc>
        <w:tc>
          <w:tcPr>
            <w:tcW w:w="1002" w:type="dxa"/>
          </w:tcPr>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内部审核</w:t>
            </w:r>
          </w:p>
        </w:tc>
        <w:tc>
          <w:tcPr>
            <w:tcW w:w="2220" w:type="dxa"/>
          </w:tcPr>
          <w:p>
            <w:pPr>
              <w:pStyle w:val="10"/>
              <w:rPr>
                <w:rFonts w:hint="default"/>
                <w:lang w:val="en-US" w:eastAsia="zh-CN"/>
              </w:rPr>
            </w:pPr>
            <w:r>
              <w:rPr>
                <w:rFonts w:hint="eastAsia"/>
                <w:lang w:val="en-US" w:eastAsia="zh-CN"/>
              </w:rPr>
              <w:t>QEO9.2</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公司编制了《内部审核控制程序》，每年至少一次，两次时间间隔不超过12个月。管理者代表全面负责内部审核的领导、策划和组织。</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查策划：每年进行一次内审，间隔不超过12个月。</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有内审员任命书，任命</w:t>
            </w:r>
            <w:r>
              <w:rPr>
                <w:rFonts w:hint="eastAsia" w:cs="Times New Roman"/>
                <w:szCs w:val="22"/>
                <w:lang w:val="en-US" w:eastAsia="zh-CN"/>
              </w:rPr>
              <w:t>形英杰</w:t>
            </w:r>
            <w:r>
              <w:rPr>
                <w:rFonts w:hint="eastAsia" w:ascii="Times New Roman" w:hAnsi="Times New Roman" w:cs="Times New Roman"/>
                <w:szCs w:val="22"/>
                <w:lang w:val="en-US" w:eastAsia="zh-CN"/>
              </w:rPr>
              <w:t>、李延波为内审员，任命人：</w:t>
            </w:r>
            <w:r>
              <w:rPr>
                <w:rFonts w:hint="eastAsia" w:cs="Times New Roman"/>
                <w:szCs w:val="22"/>
                <w:lang w:val="en-US" w:eastAsia="zh-CN"/>
              </w:rPr>
              <w:t>形英杰</w:t>
            </w:r>
            <w:r>
              <w:rPr>
                <w:rFonts w:hint="eastAsia" w:ascii="Times New Roman" w:hAnsi="Times New Roman" w:cs="Times New Roman"/>
                <w:szCs w:val="22"/>
                <w:lang w:val="en-US"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提供《管理体系内审计划》， 明确了审核目的、依据、范围、部门、审核内容。计划于2020年10月17-18日实施。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审核依据：ISO9001:2015、 ISO14001:2015、ISO45001:2018</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公司管理手册及管理体系文件</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审核组长：邢英杰  审核组组员：黄蓉玉、杨唯、王玉锋、李惠兰、史水英、任跃飞</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计划中有审核日程安排，内审员审核的部门及条款。计划审核的范围覆盖了所有的部门及条款。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查审核计划实施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公司按照策划的时间进行了内审。出示《内审首末次会议签到表》， 各部门负责人签字齐全。提供了各部门内审检查表。查阅领导层、综合部、检测部、技术质量部、财务部、收发室，对审核的事实进行了描述，审核条款无遗漏。本次审核开出1项不符合报告。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不符合项：查检测部瓦斯计的检验校准操作现场时，发现一名操作人员没有戴安全防护的耳塞等劳动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防护用品在进行工作。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不符合GB/T45001-2020职业健康安全标准中“8.1.2e）条款的使用适当的个体防护装备相关要求。”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对不符合项进行了原因分析及纠正，由内审员进行了验证。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提供了《内部审核报告》，结论：通过内审发现了一些问题，今后需要加强学习和培训。经过1个周期的体系运行，证实公司建立的管理体系经内部符合性、适宜性和有效性。</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spacing w:line="240" w:lineRule="exact"/>
              <w:rPr>
                <w:rFonts w:ascii="宋体" w:hAnsi="宋体" w:cs="Arial"/>
                <w:sz w:val="21"/>
                <w:szCs w:val="21"/>
              </w:rPr>
            </w:pPr>
            <w:r>
              <w:rPr>
                <w:rFonts w:hint="eastAsia" w:ascii="宋体" w:hAnsi="宋体" w:cs="Arial"/>
                <w:sz w:val="21"/>
                <w:szCs w:val="21"/>
                <w:lang w:val="en-US" w:eastAsia="zh-CN"/>
              </w:rPr>
              <w:t>Q</w:t>
            </w:r>
            <w:r>
              <w:rPr>
                <w:rFonts w:hint="eastAsia" w:ascii="宋体" w:hAnsi="宋体" w:cs="Arial"/>
                <w:sz w:val="21"/>
                <w:szCs w:val="21"/>
              </w:rPr>
              <w:t>不合格和纠正措施，</w:t>
            </w:r>
            <w:r>
              <w:rPr>
                <w:rFonts w:ascii="宋体" w:hAnsi="宋体" w:cs="Arial"/>
                <w:sz w:val="21"/>
                <w:szCs w:val="21"/>
              </w:rPr>
              <w:t xml:space="preserve"> </w:t>
            </w:r>
          </w:p>
          <w:p>
            <w:pPr>
              <w:rPr>
                <w:rFonts w:hint="eastAsia"/>
                <w:lang w:val="en-US" w:eastAsia="zh-CN"/>
              </w:rPr>
            </w:pPr>
            <w:r>
              <w:rPr>
                <w:rFonts w:hint="eastAsia" w:ascii="宋体" w:hAnsi="宋体" w:cs="Arial"/>
                <w:sz w:val="21"/>
                <w:szCs w:val="21"/>
                <w:lang w:val="en-US" w:eastAsia="zh-CN"/>
              </w:rPr>
              <w:t>EO</w:t>
            </w:r>
            <w:r>
              <w:rPr>
                <w:rFonts w:hint="eastAsia" w:ascii="宋体" w:hAnsi="宋体" w:cs="Arial"/>
                <w:sz w:val="21"/>
                <w:szCs w:val="21"/>
              </w:rPr>
              <w:t>不符合</w:t>
            </w:r>
            <w:r>
              <w:rPr>
                <w:rFonts w:ascii="宋体" w:hAnsi="宋体" w:cs="Arial"/>
                <w:sz w:val="21"/>
                <w:szCs w:val="21"/>
              </w:rPr>
              <w:t>/</w:t>
            </w:r>
            <w:r>
              <w:rPr>
                <w:rFonts w:hint="eastAsia" w:ascii="宋体" w:hAnsi="宋体" w:cs="Arial"/>
                <w:sz w:val="21"/>
                <w:szCs w:val="21"/>
              </w:rPr>
              <w:t>事件和纠正措施，</w:t>
            </w:r>
          </w:p>
        </w:tc>
        <w:tc>
          <w:tcPr>
            <w:tcW w:w="2220" w:type="dxa"/>
          </w:tcPr>
          <w:p>
            <w:pPr>
              <w:spacing w:line="240" w:lineRule="exact"/>
              <w:rPr>
                <w:rFonts w:ascii="宋体" w:hAnsi="宋体" w:cs="Arial"/>
                <w:sz w:val="21"/>
                <w:szCs w:val="21"/>
              </w:rPr>
            </w:pPr>
            <w:r>
              <w:rPr>
                <w:rFonts w:hint="eastAsia" w:ascii="宋体" w:hAnsi="宋体" w:cs="Arial"/>
                <w:sz w:val="21"/>
                <w:szCs w:val="21"/>
                <w:lang w:val="en-US" w:eastAsia="zh-CN"/>
              </w:rPr>
              <w:t>QEO</w:t>
            </w:r>
            <w:r>
              <w:rPr>
                <w:rFonts w:ascii="宋体" w:hAnsi="宋体" w:cs="Arial"/>
                <w:sz w:val="21"/>
                <w:szCs w:val="21"/>
              </w:rPr>
              <w:t xml:space="preserve">10.2 </w:t>
            </w:r>
          </w:p>
          <w:p>
            <w:pPr>
              <w:pStyle w:val="10"/>
              <w:rPr>
                <w:rFonts w:hint="eastAsia"/>
                <w:lang w:val="en-US" w:eastAsia="zh-CN"/>
              </w:rPr>
            </w:pPr>
          </w:p>
        </w:tc>
        <w:tc>
          <w:tcPr>
            <w:tcW w:w="1004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若出现不合格，包括投诉所引起的不合格，各相关部门应对不合格做出应对，采取必要的临时对策：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1）采取措施予以控制和纠正；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2）处置产生的后果。包括减轻有害的环境影响。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通过下列活动，评价是否需要采取措施，以消除产生不合格的原因，避免其再次发生（纠正措施）或者在其他场合发生（预防措施）：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1）评审和分析不合格；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2）确定不合格的原因；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3）举一反三，确定是否存在或可能发生类似的不合格。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确定和实施所需采取的改进措施；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评审所采取的纠正措施的有效性；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需要时，更新策划期间确定的风险和机遇；需要时，变更质量/环境/职业健康安全管理体系。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纠正措施应与所产生的不合格的影响（包括环境影响）的重要程度相适应。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对不合格的性质以及随后所采取的措施的记录，及纠正措施的结果的记录予以保留。</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经询查，自体系运行以来，还没有出现不合格和不符合事件/事故。</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A1EDC"/>
    <w:rsid w:val="03D96AE0"/>
    <w:rsid w:val="05C452EA"/>
    <w:rsid w:val="0BC05367"/>
    <w:rsid w:val="10BC52B0"/>
    <w:rsid w:val="196850DE"/>
    <w:rsid w:val="1AB90925"/>
    <w:rsid w:val="1E9D20CA"/>
    <w:rsid w:val="205829B9"/>
    <w:rsid w:val="29780EA2"/>
    <w:rsid w:val="29CE582E"/>
    <w:rsid w:val="2CCD63D4"/>
    <w:rsid w:val="2F8B08F6"/>
    <w:rsid w:val="35742A03"/>
    <w:rsid w:val="37187BB9"/>
    <w:rsid w:val="38176BAA"/>
    <w:rsid w:val="3892288F"/>
    <w:rsid w:val="41DD7820"/>
    <w:rsid w:val="42DC0A74"/>
    <w:rsid w:val="44EB5918"/>
    <w:rsid w:val="49D34275"/>
    <w:rsid w:val="49D80C11"/>
    <w:rsid w:val="4AF46303"/>
    <w:rsid w:val="4DD342A5"/>
    <w:rsid w:val="4F6E0A3B"/>
    <w:rsid w:val="546241A1"/>
    <w:rsid w:val="55B933CF"/>
    <w:rsid w:val="5BD0174E"/>
    <w:rsid w:val="647E6EBA"/>
    <w:rsid w:val="64D309B9"/>
    <w:rsid w:val="66E4533F"/>
    <w:rsid w:val="6D6C43C4"/>
    <w:rsid w:val="7A8E55F9"/>
    <w:rsid w:val="7C977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Plain Text"/>
    <w:basedOn w:val="1"/>
    <w:qFormat/>
    <w:uiPriority w:val="0"/>
    <w:rPr>
      <w:rFonts w:ascii="宋体" w:hAnsi="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2020-11-26T06:53:03Z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