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乐山市德祥机械铸造有限公司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139"/>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3"/>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97" w:type="dxa"/>
            <w:vAlign w:val="center"/>
          </w:tcPr>
          <w:p>
            <w:pPr>
              <w:spacing w:line="240" w:lineRule="exact"/>
              <w:jc w:val="center"/>
              <w:rPr>
                <w:b/>
                <w:color w:val="000000" w:themeColor="text1"/>
                <w:sz w:val="20"/>
                <w:szCs w:val="20"/>
              </w:rPr>
            </w:pPr>
            <w:r>
              <w:rPr>
                <w:rFonts w:hint="eastAsia"/>
                <w:b/>
                <w:color w:val="000000" w:themeColor="text1"/>
                <w:sz w:val="20"/>
                <w:szCs w:val="20"/>
              </w:rPr>
              <w:t>姓名</w:t>
            </w:r>
          </w:p>
        </w:tc>
        <w:tc>
          <w:tcPr>
            <w:tcW w:w="1139" w:type="dxa"/>
            <w:vAlign w:val="center"/>
          </w:tcPr>
          <w:p>
            <w:pPr>
              <w:spacing w:line="240" w:lineRule="exact"/>
              <w:jc w:val="center"/>
              <w:rPr>
                <w:b/>
                <w:color w:val="000000" w:themeColor="text1"/>
                <w:sz w:val="20"/>
                <w:szCs w:val="20"/>
              </w:rPr>
            </w:pPr>
            <w:r>
              <w:rPr>
                <w:rFonts w:hint="eastAsia"/>
                <w:b/>
                <w:color w:val="000000" w:themeColor="text1"/>
                <w:sz w:val="20"/>
                <w:szCs w:val="20"/>
              </w:rPr>
              <w:t>组内身份</w:t>
            </w:r>
          </w:p>
        </w:tc>
        <w:tc>
          <w:tcPr>
            <w:tcW w:w="1216" w:type="dxa"/>
            <w:vAlign w:val="center"/>
          </w:tcPr>
          <w:p>
            <w:pPr>
              <w:spacing w:line="240" w:lineRule="exact"/>
              <w:jc w:val="center"/>
              <w:rPr>
                <w:b/>
                <w:color w:val="000000" w:themeColor="text1"/>
                <w:sz w:val="20"/>
                <w:szCs w:val="20"/>
              </w:rPr>
            </w:pPr>
            <w:r>
              <w:rPr>
                <w:rFonts w:hint="eastAsia"/>
                <w:b/>
                <w:color w:val="000000" w:themeColor="text1"/>
                <w:sz w:val="20"/>
                <w:szCs w:val="20"/>
              </w:rPr>
              <w:t>性别</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rPr>
              <w:t>注册资格</w:t>
            </w:r>
          </w:p>
        </w:tc>
        <w:tc>
          <w:tcPr>
            <w:tcW w:w="2333" w:type="dxa"/>
            <w:gridSpan w:val="2"/>
            <w:vAlign w:val="center"/>
          </w:tcPr>
          <w:p>
            <w:pPr>
              <w:spacing w:line="240" w:lineRule="exact"/>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97" w:type="dxa"/>
            <w:vAlign w:val="center"/>
          </w:tcPr>
          <w:p>
            <w:pPr>
              <w:spacing w:line="240" w:lineRule="exact"/>
              <w:jc w:val="center"/>
              <w:rPr>
                <w:b/>
                <w:color w:val="000000" w:themeColor="text1"/>
                <w:sz w:val="20"/>
                <w:szCs w:val="20"/>
              </w:rPr>
            </w:pPr>
            <w:r>
              <w:rPr>
                <w:b/>
                <w:color w:val="000000" w:themeColor="text1"/>
                <w:sz w:val="20"/>
                <w:szCs w:val="20"/>
              </w:rPr>
              <w:t>李林</w:t>
            </w:r>
          </w:p>
        </w:tc>
        <w:tc>
          <w:tcPr>
            <w:tcW w:w="1139"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17.05.01,17.05.02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97" w:type="dxa"/>
            <w:vAlign w:val="center"/>
          </w:tcPr>
          <w:p>
            <w:pPr>
              <w:spacing w:line="240" w:lineRule="exact"/>
              <w:jc w:val="center"/>
              <w:rPr>
                <w:b/>
                <w:color w:val="000000" w:themeColor="text1"/>
                <w:sz w:val="20"/>
                <w:szCs w:val="20"/>
              </w:rPr>
            </w:pPr>
            <w:r>
              <w:rPr>
                <w:b/>
                <w:color w:val="000000" w:themeColor="text1"/>
                <w:sz w:val="20"/>
                <w:szCs w:val="20"/>
              </w:rPr>
              <w:t>罗田</w:t>
            </w:r>
          </w:p>
        </w:tc>
        <w:tc>
          <w:tcPr>
            <w:tcW w:w="1139"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7" w:type="dxa"/>
            <w:vAlign w:val="center"/>
          </w:tcPr>
          <w:p>
            <w:pPr>
              <w:rPr>
                <w:b/>
                <w:color w:val="000000" w:themeColor="text1"/>
                <w:sz w:val="20"/>
                <w:szCs w:val="20"/>
              </w:rPr>
            </w:pPr>
          </w:p>
        </w:tc>
        <w:tc>
          <w:tcPr>
            <w:tcW w:w="1139"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697" w:type="dxa"/>
            <w:vAlign w:val="center"/>
          </w:tcPr>
          <w:p>
            <w:pPr>
              <w:rPr>
                <w:b/>
                <w:color w:val="000000" w:themeColor="text1"/>
                <w:sz w:val="20"/>
                <w:szCs w:val="20"/>
              </w:rPr>
            </w:pPr>
            <w:r>
              <w:rPr>
                <w:rFonts w:hint="eastAsia"/>
                <w:b/>
                <w:color w:val="000000" w:themeColor="text1"/>
                <w:sz w:val="20"/>
                <w:szCs w:val="20"/>
              </w:rPr>
              <w:t>姓名</w:t>
            </w:r>
          </w:p>
        </w:tc>
        <w:tc>
          <w:tcPr>
            <w:tcW w:w="1139"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697" w:type="dxa"/>
            <w:vAlign w:val="center"/>
          </w:tcPr>
          <w:p>
            <w:pPr>
              <w:rPr>
                <w:b/>
                <w:color w:val="000000" w:themeColor="text1"/>
              </w:rPr>
            </w:pPr>
          </w:p>
        </w:tc>
        <w:tc>
          <w:tcPr>
            <w:tcW w:w="1139"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697" w:type="dxa"/>
            <w:vAlign w:val="center"/>
          </w:tcPr>
          <w:p>
            <w:pPr>
              <w:rPr>
                <w:b/>
                <w:color w:val="000000" w:themeColor="text1"/>
              </w:rPr>
            </w:pPr>
          </w:p>
        </w:tc>
        <w:tc>
          <w:tcPr>
            <w:tcW w:w="1139"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乐山市德祥机械铸造有限公司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乐山市中区杨湾乡陶村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614000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乐山市中区杨湾乡陶村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614000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陶丽君</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0833-2980990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陶德祥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陶丽君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黑色金属铸造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17.05.01;17.05.02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2019-03-20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生产技术部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营销部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黑色金属铸造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 xml:space="preserve">   2019</w:t>
      </w:r>
      <w:r>
        <w:rPr>
          <w:rFonts w:hint="eastAsia"/>
          <w:b/>
          <w:color w:val="000000" w:themeColor="text1"/>
          <w:spacing w:val="-10"/>
          <w:szCs w:val="21"/>
        </w:rPr>
        <w:t>年</w:t>
      </w:r>
      <w:r>
        <w:rPr>
          <w:rFonts w:hint="eastAsia"/>
          <w:b/>
          <w:color w:val="000000" w:themeColor="text1"/>
          <w:spacing w:val="-10"/>
          <w:szCs w:val="21"/>
          <w:lang w:val="en-US" w:eastAsia="zh-CN"/>
        </w:rPr>
        <w:t>03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 xml:space="preserve">  2019</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07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olor w:val="000000" w:themeColor="text1"/>
              </w:rPr>
              <w:t xml:space="preserve">黑色金属铸造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val="en-US" w:eastAsia="zh-CN"/>
              </w:rPr>
              <w:t>浇注、热处理</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w:t>
            </w:r>
            <w:r>
              <w:rPr>
                <w:rFonts w:hint="eastAsia" w:ascii="宋体" w:hAnsi="宋体"/>
                <w:b/>
                <w:color w:val="000000" w:themeColor="text1"/>
                <w:sz w:val="20"/>
                <w:szCs w:val="20"/>
                <w:u w:val="none"/>
              </w:rPr>
              <w:t>理由：</w:t>
            </w:r>
            <w:r>
              <w:rPr>
                <w:rFonts w:hint="eastAsia" w:ascii="宋体" w:hAnsi="宋体"/>
                <w:color w:val="000000" w:themeColor="text1"/>
                <w:u w:val="none"/>
              </w:rPr>
              <w:t>该公司产品均</w:t>
            </w:r>
            <w:r>
              <w:rPr>
                <w:rFonts w:hint="eastAsia" w:ascii="宋体" w:hAnsi="宋体"/>
                <w:color w:val="000000" w:themeColor="text1"/>
                <w:u w:val="none"/>
                <w:lang w:eastAsia="zh-CN"/>
              </w:rPr>
              <w:t>按国家标准及</w:t>
            </w:r>
            <w:r>
              <w:rPr>
                <w:rFonts w:hint="eastAsia" w:ascii="宋体" w:hAnsi="宋体"/>
                <w:color w:val="000000" w:themeColor="text1"/>
                <w:u w:val="none"/>
              </w:rPr>
              <w:t>顾客的</w:t>
            </w:r>
            <w:r>
              <w:rPr>
                <w:rFonts w:hint="eastAsia" w:ascii="宋体" w:hAnsi="宋体"/>
                <w:color w:val="000000" w:themeColor="text1"/>
                <w:u w:val="none"/>
                <w:lang w:eastAsia="zh-CN"/>
              </w:rPr>
              <w:t>技术</w:t>
            </w:r>
            <w:r>
              <w:rPr>
                <w:rFonts w:hint="eastAsia" w:ascii="宋体" w:hAnsi="宋体"/>
                <w:color w:val="000000" w:themeColor="text1"/>
                <w:u w:val="none"/>
              </w:rPr>
              <w:t>要求</w:t>
            </w:r>
            <w:r>
              <w:rPr>
                <w:rFonts w:hint="eastAsia" w:ascii="宋体" w:hAnsi="宋体"/>
                <w:color w:val="000000" w:themeColor="text1"/>
                <w:u w:val="none"/>
                <w:lang w:eastAsia="zh-CN"/>
              </w:rPr>
              <w:t>进</w:t>
            </w:r>
            <w:r>
              <w:rPr>
                <w:rFonts w:hint="eastAsia" w:ascii="宋体" w:hAnsi="宋体"/>
                <w:color w:val="000000" w:themeColor="text1"/>
                <w:u w:val="none"/>
              </w:rPr>
              <w:t>行生产不涉及设计，</w:t>
            </w:r>
            <w:r>
              <w:rPr>
                <w:rFonts w:hint="eastAsia" w:ascii="宋体" w:hAnsi="宋体"/>
                <w:color w:val="000000" w:themeColor="text1"/>
                <w:u w:val="none"/>
                <w:lang w:eastAsia="zh-CN"/>
              </w:rPr>
              <w:t>生产工艺成熟，</w:t>
            </w:r>
            <w:r>
              <w:rPr>
                <w:rFonts w:hint="eastAsia" w:ascii="宋体" w:hAnsi="宋体"/>
                <w:color w:val="000000" w:themeColor="text1"/>
                <w:u w:val="none"/>
              </w:rPr>
              <w:t>故标准</w:t>
            </w:r>
            <w:r>
              <w:rPr>
                <w:rFonts w:hint="eastAsia" w:ascii="宋体" w:hAnsi="宋体"/>
                <w:color w:val="000000" w:themeColor="text1"/>
                <w:u w:val="none"/>
                <w:lang w:val="en-US" w:eastAsia="zh-CN"/>
              </w:rPr>
              <w:t>8.3不适用</w:t>
            </w:r>
            <w:r>
              <w:rPr>
                <w:rFonts w:hint="eastAsia" w:ascii="宋体" w:hAnsi="宋体"/>
                <w:color w:val="000000" w:themeColor="text1"/>
                <w:u w:val="none"/>
              </w:rPr>
              <w:t>，不适用</w:t>
            </w:r>
            <w:r>
              <w:rPr>
                <w:rFonts w:hint="eastAsia" w:ascii="宋体" w:hAnsi="宋体"/>
                <w:color w:val="000000" w:themeColor="text1"/>
                <w:u w:val="none"/>
                <w:lang w:eastAsia="zh-CN"/>
              </w:rPr>
              <w:t>理由</w:t>
            </w:r>
            <w:r>
              <w:rPr>
                <w:rFonts w:hint="eastAsia" w:ascii="宋体" w:hAnsi="宋体"/>
                <w:color w:val="000000" w:themeColor="text1"/>
                <w:u w:val="none"/>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w:t>
            </w:r>
            <w:r>
              <w:rPr>
                <w:rFonts w:hint="eastAsia" w:ascii="宋体" w:hAnsi="宋体" w:cs="宋体"/>
                <w:sz w:val="21"/>
                <w:szCs w:val="21"/>
              </w:rPr>
              <w:t>产品一次交验合格率不低于90%</w:t>
            </w:r>
            <w:r>
              <w:rPr>
                <w:rFonts w:hint="eastAsia" w:ascii="宋体" w:hAnsi="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b</w:t>
            </w:r>
            <w:r>
              <w:rPr>
                <w:rFonts w:hint="eastAsia" w:ascii="宋体" w:hAnsi="宋体" w:cs="宋体"/>
                <w:sz w:val="21"/>
                <w:szCs w:val="21"/>
              </w:rPr>
              <w:t>、履约率96%以上</w:t>
            </w:r>
            <w:r>
              <w:rPr>
                <w:rFonts w:hint="eastAsia" w:ascii="宋体" w:hAnsi="宋体" w:cs="宋体"/>
                <w:sz w:val="21"/>
                <w:szCs w:val="21"/>
                <w:lang w:eastAsia="zh-CN"/>
              </w:rPr>
              <w:t>；</w:t>
            </w:r>
          </w:p>
          <w:p>
            <w:pPr>
              <w:spacing w:line="300" w:lineRule="exact"/>
              <w:rPr>
                <w:rFonts w:ascii="宋体" w:hAnsi="宋体"/>
                <w:b/>
                <w:color w:val="000000" w:themeColor="text1"/>
              </w:rPr>
            </w:pPr>
            <w:r>
              <w:rPr>
                <w:rFonts w:hint="eastAsia" w:ascii="宋体" w:hAnsi="宋体" w:cs="宋体"/>
                <w:sz w:val="21"/>
                <w:szCs w:val="21"/>
                <w:lang w:eastAsia="zh-CN"/>
              </w:rPr>
              <w:t>c</w:t>
            </w:r>
            <w:r>
              <w:rPr>
                <w:rFonts w:hint="eastAsia" w:ascii="宋体" w:hAnsi="宋体" w:cs="宋体"/>
                <w:sz w:val="21"/>
                <w:szCs w:val="21"/>
              </w:rPr>
              <w:t>、</w:t>
            </w:r>
            <w:r>
              <w:rPr>
                <w:rFonts w:hint="eastAsia" w:ascii="宋体" w:hAnsi="宋体" w:cs="宋体"/>
                <w:sz w:val="21"/>
                <w:szCs w:val="21"/>
                <w:lang w:eastAsia="zh-CN"/>
              </w:rPr>
              <w:t>顾客</w:t>
            </w:r>
            <w:r>
              <w:rPr>
                <w:rFonts w:hint="eastAsia" w:ascii="宋体" w:hAnsi="宋体" w:cs="宋体"/>
                <w:sz w:val="21"/>
                <w:szCs w:val="21"/>
              </w:rPr>
              <w:t>满意率9</w:t>
            </w:r>
            <w:r>
              <w:rPr>
                <w:rFonts w:hint="eastAsia" w:ascii="宋体" w:hAnsi="宋体" w:cs="宋体"/>
                <w:sz w:val="21"/>
                <w:szCs w:val="21"/>
                <w:lang w:eastAsia="zh-CN"/>
              </w:rPr>
              <w:t>2</w:t>
            </w:r>
            <w:r>
              <w:rPr>
                <w:rFonts w:hint="eastAsia" w:ascii="宋体" w:hAnsi="宋体" w:cs="宋体"/>
                <w:sz w:val="21"/>
                <w:szCs w:val="21"/>
              </w:rPr>
              <w:t>%以上</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w:t>
            </w:r>
            <w:r>
              <w:rPr>
                <w:rFonts w:hint="eastAsia" w:ascii="宋体" w:hAnsi="宋体"/>
                <w:b/>
                <w:color w:val="000000" w:themeColor="text1"/>
                <w:sz w:val="20"/>
                <w:szCs w:val="20"/>
                <w:highlight w:val="none"/>
              </w:rPr>
              <w:t>施（包括信息系统）、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2000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1000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szCs w:val="21"/>
                <w:highlight w:val="none"/>
                <w:lang w:eastAsia="zh-CN"/>
              </w:rPr>
              <w:t>电弧炉</w:t>
            </w:r>
            <w:r>
              <w:rPr>
                <w:rFonts w:hint="eastAsia" w:ascii="宋体" w:hAnsi="宋体"/>
                <w:szCs w:val="21"/>
                <w:highlight w:val="none"/>
                <w:lang w:val="en-US" w:eastAsia="zh-CN"/>
              </w:rPr>
              <w:t>1套、退火窑1套、风铲机3台、打磨机5台、割枪5把、捣固机3台、空压机1套、</w:t>
            </w:r>
            <w:r>
              <w:rPr>
                <w:rFonts w:hint="eastAsia" w:ascii="宋体" w:hAnsi="宋体"/>
                <w:szCs w:val="21"/>
                <w:highlight w:val="none"/>
                <w:lang w:eastAsia="zh-CN"/>
              </w:rPr>
              <w:t>行车</w:t>
            </w:r>
            <w:r>
              <w:rPr>
                <w:rFonts w:hint="eastAsia" w:ascii="宋体" w:hAnsi="宋体"/>
                <w:szCs w:val="21"/>
                <w:highlight w:val="none"/>
                <w:lang w:val="en-US" w:eastAsia="zh-CN"/>
              </w:rPr>
              <w:t>4台</w:t>
            </w:r>
            <w:r>
              <w:rPr>
                <w:rFonts w:hint="eastAsia" w:ascii="宋体" w:hAnsi="宋体"/>
                <w:bCs/>
                <w:iCs/>
                <w:highlight w:val="none"/>
                <w:lang w:eastAsia="zh-CN"/>
              </w:rPr>
              <w:t>等，可以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eastAsia="zh-CN"/>
              </w:rPr>
              <w:t>行车</w:t>
            </w:r>
            <w:r>
              <w:rPr>
                <w:rFonts w:hint="eastAsia" w:ascii="宋体" w:hAnsi="宋体"/>
                <w:bCs/>
                <w:iCs/>
                <w:highlight w:val="none"/>
                <w:lang w:val="en-US" w:eastAsia="zh-CN"/>
              </w:rPr>
              <w:t>4台</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r>
              <w:rPr>
                <w:rFonts w:hint="eastAsia" w:ascii="宋体" w:hAnsi="宋体" w:cs="宋体"/>
                <w:color w:val="000000"/>
                <w:szCs w:val="21"/>
                <w:lang w:eastAsia="zh-CN"/>
              </w:rPr>
              <w:t>，详见附件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10. 对特种设备</w:t>
            </w:r>
            <w:r>
              <w:rPr>
                <w:rFonts w:hint="eastAsia"/>
                <w:b/>
                <w:color w:val="000000" w:themeColor="text1"/>
                <w:sz w:val="20"/>
                <w:szCs w:val="20"/>
                <w:highlight w:val="none"/>
              </w:rPr>
              <w:t xml:space="preserve">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highlight w:val="none"/>
              </w:rPr>
              <w:t>特种设备</w:t>
            </w:r>
            <w:r>
              <w:rPr>
                <w:rFonts w:hint="eastAsia"/>
                <w:b/>
                <w:sz w:val="20"/>
                <w:szCs w:val="20"/>
                <w:highlight w:val="none"/>
                <w:lang w:eastAsia="zh-CN"/>
              </w:rPr>
              <w:t>：行车</w:t>
            </w:r>
            <w:r>
              <w:rPr>
                <w:rFonts w:hint="eastAsia"/>
                <w:b/>
                <w:sz w:val="20"/>
                <w:szCs w:val="20"/>
                <w:highlight w:val="none"/>
              </w:rPr>
              <w:t>。</w:t>
            </w:r>
            <w:r>
              <w:rPr>
                <w:rFonts w:hint="eastAsia"/>
                <w:b/>
                <w:sz w:val="20"/>
                <w:szCs w:val="20"/>
                <w:highlight w:val="none"/>
                <w:lang w:eastAsia="zh-CN"/>
              </w:rPr>
              <w:t>提供</w:t>
            </w:r>
            <w:r>
              <w:rPr>
                <w:rFonts w:hint="eastAsia"/>
                <w:b/>
                <w:sz w:val="20"/>
                <w:szCs w:val="20"/>
                <w:highlight w:val="none"/>
                <w:lang w:val="en-US" w:eastAsia="zh-CN"/>
              </w:rPr>
              <w:t>行车的效期内年</w:t>
            </w:r>
            <w:bookmarkStart w:id="22" w:name="_GoBack"/>
            <w:bookmarkEnd w:id="22"/>
            <w:r>
              <w:rPr>
                <w:rFonts w:hint="eastAsia"/>
                <w:b/>
                <w:sz w:val="20"/>
                <w:szCs w:val="20"/>
                <w:highlight w:val="none"/>
                <w:lang w:val="en-US" w:eastAsia="zh-CN"/>
              </w:rPr>
              <w:t>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szCs w:val="21"/>
                <w:highlight w:val="none"/>
              </w:rPr>
              <w:t>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lang w:val="en-US" w:eastAsia="zh-CN"/>
              </w:rPr>
              <w:t>%</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w:t>
            </w:r>
            <w:r>
              <w:rPr>
                <w:rFonts w:hint="eastAsia" w:ascii="宋体" w:hAnsi="宋体" w:cs="宋体"/>
                <w:szCs w:val="21"/>
                <w:highlight w:val="none"/>
              </w:rPr>
              <w:t>审时间：</w:t>
            </w:r>
            <w:r>
              <w:rPr>
                <w:rFonts w:hint="eastAsia"/>
                <w:sz w:val="21"/>
                <w:szCs w:val="21"/>
                <w:highlight w:val="none"/>
              </w:rPr>
              <w:t>2019年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w:t>
            </w:r>
            <w:r>
              <w:rPr>
                <w:rFonts w:hint="eastAsia" w:ascii="宋体" w:hAnsi="宋体" w:cs="宋体"/>
                <w:szCs w:val="21"/>
                <w:highlight w:val="none"/>
              </w:rPr>
              <w:t>，拟</w:t>
            </w:r>
            <w:r>
              <w:rPr>
                <w:rFonts w:hint="eastAsia" w:ascii="宋体" w:hAnsi="宋体" w:cs="宋体"/>
                <w:szCs w:val="21"/>
              </w:rPr>
              <w:t>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 涉及</w:t>
            </w:r>
            <w:r>
              <w:rPr>
                <w:rFonts w:hint="eastAsia" w:ascii="宋体" w:hAnsi="宋体" w:cs="宋体"/>
                <w:szCs w:val="21"/>
                <w:lang w:eastAsia="zh-CN"/>
              </w:rPr>
              <w:t>营销部</w:t>
            </w:r>
            <w:r>
              <w:rPr>
                <w:rFonts w:hint="eastAsia" w:ascii="宋体" w:hAnsi="宋体" w:cs="宋体"/>
                <w:szCs w:val="21"/>
                <w:lang w:val="en-US" w:eastAsia="zh-CN"/>
              </w:rPr>
              <w:t>8.2.3</w:t>
            </w:r>
            <w:r>
              <w:rPr>
                <w:rFonts w:hint="eastAsia" w:ascii="宋体" w:hAnsi="宋体" w:cs="宋体"/>
                <w:szCs w:val="21"/>
                <w:lang w:eastAsia="zh-CN"/>
              </w:rPr>
              <w:t>条款</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w:t>
            </w:r>
            <w:r>
              <w:rPr>
                <w:rFonts w:hint="eastAsia" w:ascii="宋体" w:hAnsi="宋体" w:cs="宋体"/>
                <w:szCs w:val="21"/>
                <w:lang w:eastAsia="zh-CN"/>
              </w:rPr>
              <w:t>对顾客方的评审，未见相关评审的证据</w:t>
            </w:r>
            <w:r>
              <w:rPr>
                <w:rFonts w:hint="eastAsia" w:ascii="宋体" w:hAnsi="宋体" w:cs="宋体"/>
                <w:szCs w:val="21"/>
              </w:rPr>
              <w:t>，针对该不符合项，已及时采取纠正措施后，经内审员</w:t>
            </w:r>
            <w:r>
              <w:rPr>
                <w:rFonts w:hint="eastAsia"/>
                <w:sz w:val="21"/>
                <w:szCs w:val="21"/>
              </w:rPr>
              <w:t>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cs="宋体"/>
                <w:szCs w:val="21"/>
                <w:highlight w:val="none"/>
              </w:rPr>
              <w:t>次管理评审于</w:t>
            </w:r>
            <w:r>
              <w:rPr>
                <w:rFonts w:hint="eastAsia" w:ascii="宋体" w:hAnsi="宋体"/>
                <w:kern w:val="0"/>
                <w:sz w:val="21"/>
                <w:szCs w:val="21"/>
                <w:highlight w:val="none"/>
              </w:rPr>
              <w:t>2019年7月1</w:t>
            </w:r>
            <w:r>
              <w:rPr>
                <w:rFonts w:hint="eastAsia" w:ascii="宋体" w:hAnsi="宋体"/>
                <w:kern w:val="0"/>
                <w:sz w:val="21"/>
                <w:szCs w:val="21"/>
                <w:highlight w:val="none"/>
                <w:lang w:val="en-US" w:eastAsia="zh-CN"/>
              </w:rPr>
              <w:t>0</w:t>
            </w:r>
            <w:r>
              <w:rPr>
                <w:rFonts w:hint="eastAsia" w:ascii="宋体" w:hAnsi="宋体"/>
                <w:kern w:val="0"/>
                <w:sz w:val="21"/>
                <w:szCs w:val="21"/>
                <w:highlight w:val="none"/>
              </w:rPr>
              <w:t>日</w:t>
            </w:r>
            <w:r>
              <w:rPr>
                <w:rFonts w:hint="eastAsia" w:ascii="宋体" w:hAnsi="宋体" w:cs="宋体"/>
                <w:szCs w:val="21"/>
                <w:highlight w:val="none"/>
              </w:rPr>
              <w:t>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1</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rPr>
            </w:pPr>
            <w:r>
              <w:rPr>
                <w:rFonts w:ascii="宋体" w:hAnsi="宋体"/>
                <w:b/>
                <w:color w:val="000000" w:themeColor="text1"/>
              </w:rPr>
              <w:t>QMS:</w:t>
            </w:r>
          </w:p>
          <w:p>
            <w:pPr>
              <w:spacing w:line="320" w:lineRule="exact"/>
              <w:rPr>
                <w:rFonts w:ascii="宋体" w:hAnsi="宋体"/>
                <w:b/>
                <w:color w:val="000000" w:themeColor="text1"/>
              </w:rPr>
            </w:pPr>
          </w:p>
          <w:p>
            <w:pPr>
              <w:spacing w:line="320" w:lineRule="exact"/>
              <w:rPr>
                <w:rFonts w:hint="eastAsia" w:ascii="宋体" w:hAnsi="宋体"/>
                <w:b/>
                <w:color w:val="000000" w:themeColor="text1"/>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hint="eastAsia" w:ascii="宋体" w:hAnsi="宋体"/>
                <w:b/>
                <w:color w:val="000000" w:themeColor="text1"/>
                <w:lang w:val="en-GB"/>
              </w:rPr>
            </w:pP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审核组组员（签名）：</w:t>
      </w:r>
    </w:p>
    <w:p>
      <w:pPr>
        <w:snapToGrid w:val="0"/>
        <w:spacing w:after="156" w:afterLines="50" w:line="360" w:lineRule="auto"/>
        <w:ind w:left="-12" w:leftChars="-32" w:hanging="55" w:hangingChars="26"/>
        <w:jc w:val="center"/>
        <w:rPr>
          <w:b/>
          <w:color w:val="000000" w:themeColor="text1"/>
          <w:sz w:val="16"/>
          <w:szCs w:val="16"/>
        </w:rPr>
      </w:pP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07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F370A"/>
    <w:rsid w:val="01664BE2"/>
    <w:rsid w:val="08284DC2"/>
    <w:rsid w:val="08FB4A28"/>
    <w:rsid w:val="09236FB6"/>
    <w:rsid w:val="09673A97"/>
    <w:rsid w:val="0996486F"/>
    <w:rsid w:val="09BC20E8"/>
    <w:rsid w:val="0A0F335C"/>
    <w:rsid w:val="0AAF7F0A"/>
    <w:rsid w:val="0C5907F0"/>
    <w:rsid w:val="0C6B7247"/>
    <w:rsid w:val="0E27535C"/>
    <w:rsid w:val="0E3264DE"/>
    <w:rsid w:val="0E7A0669"/>
    <w:rsid w:val="0F5A5536"/>
    <w:rsid w:val="10FE4A3C"/>
    <w:rsid w:val="134A0B07"/>
    <w:rsid w:val="139B07A1"/>
    <w:rsid w:val="158B060D"/>
    <w:rsid w:val="180C2907"/>
    <w:rsid w:val="186D0A88"/>
    <w:rsid w:val="18763593"/>
    <w:rsid w:val="19084CC6"/>
    <w:rsid w:val="1A1D5E6B"/>
    <w:rsid w:val="1B011E75"/>
    <w:rsid w:val="1B3B102A"/>
    <w:rsid w:val="1B8D419F"/>
    <w:rsid w:val="1F2E1685"/>
    <w:rsid w:val="1F762B22"/>
    <w:rsid w:val="204D6091"/>
    <w:rsid w:val="209D0635"/>
    <w:rsid w:val="20A52134"/>
    <w:rsid w:val="220C5B61"/>
    <w:rsid w:val="23D85604"/>
    <w:rsid w:val="28991C71"/>
    <w:rsid w:val="2C3D2FF0"/>
    <w:rsid w:val="2F0A4511"/>
    <w:rsid w:val="2FF13252"/>
    <w:rsid w:val="33030544"/>
    <w:rsid w:val="36E84932"/>
    <w:rsid w:val="38F17961"/>
    <w:rsid w:val="3A346239"/>
    <w:rsid w:val="3A6F059F"/>
    <w:rsid w:val="3AB753B7"/>
    <w:rsid w:val="3AFC0673"/>
    <w:rsid w:val="3D2E0B4C"/>
    <w:rsid w:val="3D7E6B73"/>
    <w:rsid w:val="41414A74"/>
    <w:rsid w:val="41541005"/>
    <w:rsid w:val="44C63FEF"/>
    <w:rsid w:val="47341A5E"/>
    <w:rsid w:val="48E512EA"/>
    <w:rsid w:val="4B5B7533"/>
    <w:rsid w:val="4BCB09DB"/>
    <w:rsid w:val="4BE25E99"/>
    <w:rsid w:val="4CBC4071"/>
    <w:rsid w:val="4E531CA1"/>
    <w:rsid w:val="4F00092E"/>
    <w:rsid w:val="4FE155CE"/>
    <w:rsid w:val="507B5180"/>
    <w:rsid w:val="536C3FED"/>
    <w:rsid w:val="540049B0"/>
    <w:rsid w:val="548F081B"/>
    <w:rsid w:val="5B945ABC"/>
    <w:rsid w:val="5C182FF8"/>
    <w:rsid w:val="5D094311"/>
    <w:rsid w:val="5DBD06A2"/>
    <w:rsid w:val="5ED04AAB"/>
    <w:rsid w:val="5F28263E"/>
    <w:rsid w:val="630C2AD6"/>
    <w:rsid w:val="63976A24"/>
    <w:rsid w:val="643A3CA3"/>
    <w:rsid w:val="643A5D2A"/>
    <w:rsid w:val="664166ED"/>
    <w:rsid w:val="66D3578F"/>
    <w:rsid w:val="670C5745"/>
    <w:rsid w:val="674D57F8"/>
    <w:rsid w:val="69124B81"/>
    <w:rsid w:val="69787663"/>
    <w:rsid w:val="69E0716E"/>
    <w:rsid w:val="6AC761C2"/>
    <w:rsid w:val="6AE10481"/>
    <w:rsid w:val="6FC42FFB"/>
    <w:rsid w:val="75B8457C"/>
    <w:rsid w:val="769F66C1"/>
    <w:rsid w:val="77664040"/>
    <w:rsid w:val="77BF0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2019-10-05T07:32:27Z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