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西安丹拿声学技术有限公司</w:t>
      </w:r>
      <w:bookmarkEnd w:id="0"/>
    </w:p>
    <w:p>
      <w:pPr>
        <w:snapToGrid w:val="0"/>
        <w:spacing w:after="93" w:afterLines="30"/>
        <w:ind w:firstLine="1928" w:firstLineChars="600"/>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3"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3"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李俐</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18.09.00,29.12.00,</w:t>
            </w:r>
          </w:p>
          <w:p>
            <w:pPr>
              <w:spacing w:line="240" w:lineRule="exact"/>
              <w:jc w:val="center"/>
              <w:rPr>
                <w:b/>
                <w:color w:val="000000" w:themeColor="text1"/>
                <w:sz w:val="20"/>
                <w:szCs w:val="20"/>
              </w:rPr>
            </w:pPr>
            <w:r>
              <w:rPr>
                <w:b/>
                <w:color w:val="000000" w:themeColor="text1"/>
                <w:sz w:val="20"/>
                <w:szCs w:val="20"/>
              </w:rPr>
              <w:t>34.05.00,34.06.00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郭力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p>
        </w:tc>
        <w:tc>
          <w:tcPr>
            <w:tcW w:w="992" w:type="dxa"/>
            <w:vAlign w:val="center"/>
          </w:tcPr>
          <w:p>
            <w:pPr>
              <w:spacing w:line="240" w:lineRule="exact"/>
              <w:jc w:val="center"/>
              <w:rPr>
                <w:b/>
                <w:color w:val="000000" w:themeColor="text1"/>
                <w:sz w:val="20"/>
                <w:szCs w:val="20"/>
              </w:rPr>
            </w:pPr>
          </w:p>
        </w:tc>
        <w:tc>
          <w:tcPr>
            <w:tcW w:w="1216" w:type="dxa"/>
            <w:vAlign w:val="center"/>
          </w:tcPr>
          <w:p>
            <w:pPr>
              <w:spacing w:line="240" w:lineRule="exact"/>
              <w:jc w:val="center"/>
              <w:rPr>
                <w:b/>
                <w:color w:val="000000" w:themeColor="text1"/>
                <w:sz w:val="20"/>
                <w:szCs w:val="20"/>
              </w:rPr>
            </w:pPr>
          </w:p>
        </w:tc>
        <w:tc>
          <w:tcPr>
            <w:tcW w:w="3478" w:type="dxa"/>
            <w:gridSpan w:val="3"/>
            <w:vAlign w:val="center"/>
          </w:tcPr>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pacing w:val="-10"/>
          <w:sz w:val="20"/>
          <w:szCs w:val="20"/>
        </w:rPr>
      </w:pPr>
      <w:r>
        <w:rPr>
          <w:rFonts w:hint="eastAsia" w:ascii="宋体" w:hAnsi="宋体"/>
          <w:b/>
          <w:color w:val="000000" w:themeColor="text1"/>
          <w:sz w:val="26"/>
          <w:szCs w:val="26"/>
        </w:rPr>
        <w:t>审核准则</w:t>
      </w:r>
    </w:p>
    <w:p>
      <w:pPr>
        <w:pStyle w:val="12"/>
        <w:numPr>
          <w:ilvl w:val="0"/>
          <w:numId w:val="0"/>
        </w:numPr>
        <w:ind w:left="-851" w:leftChars="0" w:firstLine="210" w:firstLineChars="100"/>
        <w:rPr>
          <w:rFonts w:hint="eastAsia"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GB/T 19001:2016 idt ISO 9001:2015标准   不适用条款:无</w:t>
      </w:r>
    </w:p>
    <w:p>
      <w:pPr>
        <w:pStyle w:val="12"/>
        <w:numPr>
          <w:ilvl w:val="0"/>
          <w:numId w:val="0"/>
        </w:numPr>
        <w:ind w:left="-851" w:leftChars="0" w:firstLine="181" w:firstLineChars="100"/>
        <w:rPr>
          <w:rFonts w:hint="eastAsia"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pStyle w:val="12"/>
        <w:numPr>
          <w:ilvl w:val="0"/>
          <w:numId w:val="0"/>
        </w:numPr>
        <w:ind w:left="-851" w:leftChars="0" w:firstLine="181" w:firstLineChars="100"/>
        <w:rPr>
          <w:rFonts w:hint="eastAsia"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pStyle w:val="12"/>
        <w:numPr>
          <w:ilvl w:val="0"/>
          <w:numId w:val="0"/>
        </w:numPr>
        <w:ind w:left="-851" w:leftChars="0" w:firstLine="181" w:firstLineChars="100"/>
        <w:rPr>
          <w:rFonts w:hint="eastAsia"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28001-2011 idtOHSMS 18001:2007标准</w:t>
      </w:r>
    </w:p>
    <w:p>
      <w:pPr>
        <w:pStyle w:val="12"/>
        <w:numPr>
          <w:ilvl w:val="0"/>
          <w:numId w:val="0"/>
        </w:numPr>
        <w:ind w:left="-851" w:leftChars="0" w:firstLine="181" w:firstLineChars="100"/>
        <w:rPr>
          <w:rFonts w:hint="eastAsia"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pStyle w:val="12"/>
        <w:numPr>
          <w:ilvl w:val="0"/>
          <w:numId w:val="0"/>
        </w:numPr>
        <w:ind w:left="-851" w:leftChars="0" w:firstLine="210" w:firstLineChars="100"/>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受审核方管理体系文件  </w:t>
      </w:r>
      <w:r>
        <w:rPr>
          <w:rFonts w:hint="eastAsia" w:ascii="宋体" w:hAnsi="宋体"/>
        </w:rPr>
        <w:t>■</w:t>
      </w:r>
      <w:r>
        <w:rPr>
          <w:rFonts w:hint="eastAsia" w:ascii="宋体" w:hAnsi="宋体"/>
          <w:b/>
          <w:color w:val="000000" w:themeColor="text1"/>
          <w:spacing w:val="-10"/>
          <w:sz w:val="20"/>
          <w:szCs w:val="20"/>
        </w:rPr>
        <w:t>适用的法律法规  □其他</w:t>
      </w:r>
    </w:p>
    <w:p>
      <w:pPr>
        <w:numPr>
          <w:ilvl w:val="0"/>
          <w:numId w:val="1"/>
        </w:numPr>
        <w:ind w:left="-142" w:leftChars="0" w:hanging="709" w:firstLineChars="0"/>
        <w:jc w:val="left"/>
      </w:pPr>
      <w:r>
        <w:rPr>
          <w:rFonts w:hint="eastAsia" w:ascii="宋体" w:hAnsi="宋体"/>
          <w:b/>
          <w:color w:val="000000" w:themeColor="text1"/>
          <w:sz w:val="26"/>
          <w:szCs w:val="26"/>
        </w:rPr>
        <w:t>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西安丹拿声学技术有限公司</w:t>
            </w:r>
          </w:p>
        </w:tc>
        <w:tc>
          <w:tcPr>
            <w:tcW w:w="1134" w:type="dxa"/>
            <w:gridSpan w:val="3"/>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西安市高新区锦业二路信凯工业园C栋205室</w:t>
            </w:r>
          </w:p>
        </w:tc>
        <w:tc>
          <w:tcPr>
            <w:tcW w:w="540" w:type="dxa"/>
            <w:vMerge w:val="restart"/>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pacing w:val="-20"/>
                <w:sz w:val="20"/>
                <w:szCs w:val="20"/>
              </w:rPr>
            </w:pPr>
            <w:r>
              <w:rPr>
                <w:rFonts w:hint="eastAsia" w:ascii="宋体" w:hAnsi="宋体"/>
                <w:b/>
                <w:color w:val="000000" w:themeColor="text1"/>
                <w:sz w:val="20"/>
                <w:szCs w:val="20"/>
              </w:rPr>
              <w:t>编</w:t>
            </w:r>
          </w:p>
        </w:tc>
        <w:tc>
          <w:tcPr>
            <w:tcW w:w="1297" w:type="dxa"/>
            <w:vAlign w:val="top"/>
          </w:tcPr>
          <w:p>
            <w:pPr>
              <w:spacing w:line="320" w:lineRule="exact"/>
            </w:pPr>
            <w:r>
              <w:rPr>
                <w:rFonts w:ascii="宋体" w:hAnsi="宋体"/>
                <w:b/>
                <w:color w:val="000000" w:themeColor="text1"/>
                <w:spacing w:val="-20"/>
                <w:sz w:val="20"/>
                <w:szCs w:val="20"/>
              </w:rPr>
              <w:t>710000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vAlign w:val="top"/>
          </w:tcPr>
          <w:p>
            <w:pPr>
              <w:spacing w:line="320" w:lineRule="exact"/>
              <w:ind w:firstLine="1004" w:firstLineChars="500"/>
              <w:rPr>
                <w:rFonts w:ascii="宋体" w:hAnsi="宋体"/>
                <w:b/>
                <w:color w:val="000000" w:themeColor="text1"/>
                <w:sz w:val="20"/>
                <w:szCs w:val="20"/>
              </w:rPr>
            </w:pPr>
            <w:r>
              <w:rPr>
                <w:rFonts w:ascii="宋体" w:hAnsi="宋体"/>
                <w:b/>
                <w:color w:val="000000" w:themeColor="text1"/>
                <w:sz w:val="20"/>
                <w:szCs w:val="20"/>
              </w:rPr>
              <w:t>西安市高新区锦业二路信凯工业园C栋205室</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pPr>
            <w:r>
              <w:rPr>
                <w:rFonts w:ascii="宋体" w:hAnsi="宋体"/>
                <w:b/>
                <w:color w:val="000000" w:themeColor="text1"/>
                <w:sz w:val="20"/>
                <w:szCs w:val="20"/>
              </w:rPr>
              <w:t>710000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vAlign w:val="top"/>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何珊珊</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18802955729</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4" w:name="联系人传真"/>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宋琪</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5" w:name="最高管理者"/>
            <w:bookmarkEnd w:id="5"/>
            <w:r>
              <w:rPr>
                <w:rFonts w:ascii="宋体" w:hAnsi="宋体"/>
                <w:b/>
                <w:color w:val="000000" w:themeColor="text1"/>
                <w:sz w:val="20"/>
                <w:szCs w:val="20"/>
              </w:rPr>
              <w:t>宋琪</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刘芳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vAlign w:val="top"/>
          </w:tcPr>
          <w:p>
            <w:pPr>
              <w:spacing w:line="320" w:lineRule="exact"/>
              <w:rPr>
                <w:rFonts w:ascii="宋体" w:hAnsi="宋体"/>
                <w:b/>
                <w:color w:val="000000" w:themeColor="text1"/>
                <w:sz w:val="20"/>
                <w:szCs w:val="20"/>
                <w:u w:val="single"/>
              </w:rPr>
            </w:pPr>
            <w:r>
              <w:rPr>
                <w:rFonts w:ascii="宋体" w:hAnsi="宋体"/>
                <w:b/>
                <w:color w:val="000000" w:themeColor="text1"/>
                <w:sz w:val="20"/>
                <w:szCs w:val="20"/>
              </w:rPr>
              <w:t>建筑声学材料、音响器材、智能化会议系统的销售；建筑声学的设计、技术咨询服务；灯光音响系统的设计、安装及调试；投影显示的技术咨询服务。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18.09.00;29.12.00;34.05.00;34.06.00</w:t>
            </w:r>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r>
              <w:rPr>
                <w:rFonts w:ascii="宋体" w:hAnsi="宋体"/>
                <w:b/>
                <w:color w:val="000000" w:themeColor="text1"/>
                <w:sz w:val="20"/>
                <w:szCs w:val="20"/>
              </w:rPr>
              <w:t>2019-06-01 0:00:00</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vAlign w:val="top"/>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spacing w:line="360" w:lineRule="auto"/>
              <w:jc w:val="left"/>
              <w:rPr>
                <w:rFonts w:hint="eastAsia" w:ascii="宋体" w:hAnsi="宋体"/>
                <w:b w:val="0"/>
                <w:bCs/>
                <w:color w:val="000000" w:themeColor="text1"/>
                <w:spacing w:val="-20"/>
                <w:sz w:val="21"/>
                <w:szCs w:val="21"/>
                <w:lang w:val="en-US" w:eastAsia="zh-CN"/>
              </w:rPr>
            </w:pPr>
            <w:r>
              <w:rPr>
                <w:rFonts w:hint="eastAsia" w:ascii="宋体" w:hAnsi="宋体"/>
                <w:b w:val="0"/>
                <w:bCs/>
                <w:color w:val="000000" w:themeColor="text1"/>
                <w:spacing w:val="-20"/>
                <w:sz w:val="21"/>
                <w:szCs w:val="21"/>
              </w:rPr>
              <w:t>国家电网西北分部多功能厅舞台灯光音响系统安装调试</w:t>
            </w:r>
            <w:r>
              <w:rPr>
                <w:rFonts w:hint="eastAsia" w:ascii="宋体" w:hAnsi="宋体"/>
                <w:b w:val="0"/>
                <w:bCs/>
                <w:color w:val="000000" w:themeColor="text1"/>
                <w:spacing w:val="-20"/>
                <w:sz w:val="21"/>
                <w:szCs w:val="21"/>
                <w:lang w:val="en-US" w:eastAsia="zh-CN"/>
              </w:rPr>
              <w:t>项目</w:t>
            </w:r>
          </w:p>
          <w:p>
            <w:pPr>
              <w:widowControl/>
              <w:spacing w:line="360" w:lineRule="auto"/>
              <w:jc w:val="left"/>
              <w:rPr>
                <w:rFonts w:hint="eastAsia" w:ascii="宋体" w:hAnsi="宋体"/>
                <w:b w:val="0"/>
                <w:bCs/>
                <w:color w:val="000000" w:themeColor="text1"/>
                <w:spacing w:val="-20"/>
                <w:sz w:val="21"/>
                <w:szCs w:val="21"/>
                <w:lang w:val="en-US" w:eastAsia="zh-CN"/>
              </w:rPr>
            </w:pPr>
            <w:r>
              <w:rPr>
                <w:rFonts w:hint="eastAsia" w:ascii="宋体" w:hAnsi="宋体"/>
                <w:b w:val="0"/>
                <w:bCs/>
                <w:color w:val="000000" w:themeColor="text1"/>
                <w:spacing w:val="-20"/>
                <w:sz w:val="21"/>
                <w:szCs w:val="21"/>
                <w:lang w:val="en-US" w:eastAsia="zh-CN"/>
              </w:rPr>
              <w:t>地址：陕西省西安市碑林区环城东路北段与东一路交叉路口往东北约50米(西北电网家属院西南侧)</w:t>
            </w: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w:t>
      </w:r>
      <w:r>
        <w:rPr>
          <w:rFonts w:hint="eastAsia" w:ascii="宋体" w:hAnsi="宋体"/>
          <w:b/>
          <w:szCs w:val="21"/>
        </w:rPr>
        <w:t>部门、职能或过程</w:t>
      </w:r>
      <w:r>
        <w:rPr>
          <w:rFonts w:ascii="宋体" w:hAnsi="宋体"/>
          <w:b/>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119" w:type="dxa"/>
            <w:vAlign w:val="center"/>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19" w:type="dxa"/>
            <w:vAlign w:val="center"/>
          </w:tcPr>
          <w:p>
            <w:pPr>
              <w:jc w:val="center"/>
              <w:rPr>
                <w:rFonts w:hint="eastAsia" w:ascii="宋体" w:hAnsi="宋体"/>
                <w:b w:val="0"/>
                <w:bCs/>
                <w:color w:val="000000" w:themeColor="text1"/>
                <w:sz w:val="21"/>
                <w:szCs w:val="21"/>
                <w:lang w:val="en-US" w:eastAsia="zh-CN"/>
              </w:rPr>
            </w:pPr>
            <w:r>
              <w:rPr>
                <w:rFonts w:hint="eastAsia" w:ascii="宋体" w:hAnsi="宋体"/>
                <w:b w:val="0"/>
                <w:bCs/>
                <w:color w:val="000000" w:themeColor="text1"/>
                <w:sz w:val="21"/>
                <w:szCs w:val="21"/>
                <w:lang w:val="en-US" w:eastAsia="zh-CN"/>
              </w:rPr>
              <w:t>管理</w:t>
            </w:r>
            <w:r>
              <w:rPr>
                <w:rFonts w:hint="eastAsia" w:ascii="宋体" w:hAnsi="宋体"/>
                <w:b w:val="0"/>
                <w:bCs/>
                <w:color w:val="000000" w:themeColor="text1"/>
                <w:sz w:val="21"/>
                <w:szCs w:val="21"/>
              </w:rPr>
              <w:t>层</w:t>
            </w:r>
          </w:p>
        </w:tc>
        <w:tc>
          <w:tcPr>
            <w:tcW w:w="6804" w:type="dxa"/>
            <w:vAlign w:val="top"/>
          </w:tcPr>
          <w:p>
            <w:pPr>
              <w:jc w:val="left"/>
              <w:rPr>
                <w:rFonts w:hint="eastAsia" w:ascii="宋体" w:hAnsi="宋体"/>
                <w:b w:val="0"/>
                <w:bCs/>
                <w:color w:val="000000" w:themeColor="text1"/>
                <w:sz w:val="21"/>
                <w:szCs w:val="21"/>
                <w:lang w:val="en-US" w:eastAsia="zh-CN"/>
              </w:rPr>
            </w:pPr>
            <w:r>
              <w:rPr>
                <w:rFonts w:hint="eastAsia" w:ascii="宋体" w:hAnsi="宋体"/>
                <w:b w:val="0"/>
                <w:bCs/>
                <w:color w:val="000000" w:themeColor="text1"/>
                <w:sz w:val="21"/>
                <w:szCs w:val="21"/>
              </w:rPr>
              <w:t>内外部环境、风险识别、资源支持、内审管理</w:t>
            </w:r>
            <w:r>
              <w:rPr>
                <w:rFonts w:hint="eastAsia" w:ascii="宋体" w:hAnsi="宋体"/>
                <w:b w:val="0"/>
                <w:bCs/>
                <w:color w:val="000000" w:themeColor="text1"/>
                <w:sz w:val="21"/>
                <w:szCs w:val="21"/>
                <w:lang w:eastAsia="zh-CN"/>
              </w:rPr>
              <w:t>、</w:t>
            </w:r>
            <w:r>
              <w:rPr>
                <w:rFonts w:hint="eastAsia" w:ascii="宋体" w:hAnsi="宋体"/>
                <w:b w:val="0"/>
                <w:bCs/>
                <w:color w:val="000000" w:themeColor="text1"/>
                <w:sz w:val="21"/>
                <w:szCs w:val="21"/>
              </w:rPr>
              <w:t>管理评审等，与管理层有关的质量管理活动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hint="default" w:ascii="宋体" w:hAnsi="宋体" w:eastAsia="宋体"/>
                <w:b w:val="0"/>
                <w:bCs/>
                <w:color w:val="000000" w:themeColor="text1"/>
                <w:sz w:val="21"/>
                <w:szCs w:val="21"/>
                <w:lang w:val="en-US" w:eastAsia="zh-CN"/>
              </w:rPr>
            </w:pPr>
            <w:r>
              <w:rPr>
                <w:rFonts w:hint="eastAsia" w:ascii="宋体" w:hAnsi="宋体"/>
                <w:b w:val="0"/>
                <w:bCs/>
                <w:color w:val="000000" w:themeColor="text1"/>
                <w:sz w:val="21"/>
                <w:szCs w:val="21"/>
                <w:lang w:val="en-US" w:eastAsia="zh-CN"/>
              </w:rPr>
              <w:t>办公室</w:t>
            </w:r>
          </w:p>
        </w:tc>
        <w:tc>
          <w:tcPr>
            <w:tcW w:w="6804" w:type="dxa"/>
          </w:tcPr>
          <w:p>
            <w:pPr>
              <w:jc w:val="left"/>
              <w:rPr>
                <w:rFonts w:ascii="宋体" w:hAnsi="宋体"/>
                <w:b w:val="0"/>
                <w:bCs/>
                <w:color w:val="000000" w:themeColor="text1"/>
                <w:spacing w:val="-20"/>
                <w:sz w:val="21"/>
                <w:szCs w:val="21"/>
                <w:u w:val="single"/>
              </w:rPr>
            </w:pPr>
            <w:r>
              <w:rPr>
                <w:rFonts w:hint="eastAsia" w:ascii="宋体" w:hAnsi="宋体"/>
                <w:b w:val="0"/>
                <w:bCs/>
                <w:color w:val="000000" w:themeColor="text1"/>
                <w:sz w:val="21"/>
                <w:szCs w:val="21"/>
              </w:rPr>
              <w:t>方针、目标管理；文件、记录控制程；管理评审；人员、部门职能职责和权限；风险识别评价管理；。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ascii="宋体" w:hAnsi="宋体"/>
                <w:b w:val="0"/>
                <w:bCs/>
                <w:color w:val="000000" w:themeColor="text1"/>
                <w:sz w:val="21"/>
                <w:szCs w:val="21"/>
              </w:rPr>
            </w:pPr>
            <w:r>
              <w:rPr>
                <w:rFonts w:hint="eastAsia" w:ascii="宋体" w:hAnsi="宋体"/>
                <w:b w:val="0"/>
                <w:bCs/>
                <w:color w:val="000000" w:themeColor="text1"/>
                <w:sz w:val="21"/>
                <w:szCs w:val="21"/>
                <w:lang w:val="en-US" w:eastAsia="zh-CN"/>
              </w:rPr>
              <w:t>业务</w:t>
            </w:r>
            <w:r>
              <w:rPr>
                <w:rFonts w:hint="eastAsia" w:ascii="宋体" w:hAnsi="宋体"/>
                <w:b w:val="0"/>
                <w:bCs/>
                <w:color w:val="000000" w:themeColor="text1"/>
                <w:sz w:val="21"/>
                <w:szCs w:val="21"/>
              </w:rPr>
              <w:t>部</w:t>
            </w:r>
          </w:p>
        </w:tc>
        <w:tc>
          <w:tcPr>
            <w:tcW w:w="6804" w:type="dxa"/>
          </w:tcPr>
          <w:p>
            <w:pPr>
              <w:jc w:val="left"/>
              <w:rPr>
                <w:rFonts w:ascii="宋体" w:hAnsi="宋体"/>
                <w:b w:val="0"/>
                <w:bCs/>
                <w:color w:val="000000" w:themeColor="text1"/>
                <w:sz w:val="21"/>
                <w:szCs w:val="21"/>
              </w:rPr>
            </w:pPr>
            <w:r>
              <w:rPr>
                <w:rFonts w:hint="eastAsia" w:ascii="宋体" w:hAnsi="宋体"/>
                <w:b w:val="0"/>
                <w:bCs/>
                <w:color w:val="000000" w:themeColor="text1"/>
                <w:sz w:val="21"/>
                <w:szCs w:val="21"/>
              </w:rPr>
              <w:t>采购过程相关等过程、销售过程、客户满意等及相应质量管理体系运行过程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ascii="宋体" w:hAnsi="宋体"/>
                <w:b w:val="0"/>
                <w:bCs/>
                <w:color w:val="000000" w:themeColor="text1"/>
                <w:sz w:val="21"/>
                <w:szCs w:val="21"/>
              </w:rPr>
            </w:pPr>
            <w:r>
              <w:rPr>
                <w:rFonts w:hint="eastAsia" w:ascii="宋体" w:hAnsi="宋体"/>
                <w:b w:val="0"/>
                <w:bCs/>
                <w:color w:val="000000" w:themeColor="text1"/>
                <w:sz w:val="21"/>
                <w:szCs w:val="21"/>
              </w:rPr>
              <w:t>技术部</w:t>
            </w:r>
          </w:p>
        </w:tc>
        <w:tc>
          <w:tcPr>
            <w:tcW w:w="6804" w:type="dxa"/>
          </w:tcPr>
          <w:p>
            <w:pPr>
              <w:jc w:val="both"/>
              <w:rPr>
                <w:rFonts w:hint="eastAsia" w:ascii="宋体" w:hAnsi="宋体"/>
                <w:b w:val="0"/>
                <w:bCs/>
                <w:color w:val="000000" w:themeColor="text1"/>
                <w:sz w:val="21"/>
                <w:szCs w:val="21"/>
              </w:rPr>
            </w:pPr>
            <w:r>
              <w:rPr>
                <w:rFonts w:hint="eastAsia" w:ascii="宋体" w:hAnsi="宋体"/>
                <w:b w:val="0"/>
                <w:bCs/>
                <w:color w:val="000000" w:themeColor="text1"/>
                <w:sz w:val="21"/>
                <w:szCs w:val="21"/>
              </w:rPr>
              <w:t>不合格品控制</w:t>
            </w:r>
            <w:r>
              <w:rPr>
                <w:rFonts w:hint="eastAsia" w:ascii="宋体" w:hAnsi="宋体"/>
                <w:b w:val="0"/>
                <w:bCs/>
                <w:color w:val="000000" w:themeColor="text1"/>
                <w:sz w:val="21"/>
                <w:szCs w:val="21"/>
                <w:lang w:eastAsia="zh-CN"/>
              </w:rPr>
              <w:t>、</w:t>
            </w:r>
            <w:r>
              <w:rPr>
                <w:rFonts w:hint="eastAsia" w:ascii="宋体" w:hAnsi="宋体"/>
                <w:b w:val="0"/>
                <w:bCs/>
                <w:color w:val="000000"/>
                <w:spacing w:val="-20"/>
                <w:sz w:val="21"/>
                <w:szCs w:val="21"/>
              </w:rPr>
              <w:t>基础设施、</w:t>
            </w:r>
            <w:r>
              <w:rPr>
                <w:rFonts w:hint="eastAsia" w:ascii="宋体" w:hAnsi="宋体"/>
                <w:b w:val="0"/>
                <w:bCs/>
                <w:color w:val="000000" w:themeColor="text1"/>
                <w:sz w:val="21"/>
                <w:szCs w:val="21"/>
                <w:lang w:val="en-US" w:eastAsia="zh-CN"/>
              </w:rPr>
              <w:t>服务</w:t>
            </w:r>
            <w:r>
              <w:rPr>
                <w:rFonts w:ascii="宋体" w:hAnsi="宋体"/>
                <w:b w:val="0"/>
                <w:bCs/>
                <w:color w:val="000000" w:themeColor="text1"/>
                <w:sz w:val="21"/>
                <w:szCs w:val="21"/>
              </w:rPr>
              <w:t>过程管理</w:t>
            </w:r>
            <w:r>
              <w:rPr>
                <w:rFonts w:hint="eastAsia" w:ascii="宋体" w:hAnsi="宋体"/>
                <w:b w:val="0"/>
                <w:bCs/>
                <w:color w:val="000000" w:themeColor="text1"/>
                <w:sz w:val="21"/>
                <w:szCs w:val="21"/>
              </w:rPr>
              <w:t>；</w:t>
            </w:r>
            <w:r>
              <w:rPr>
                <w:rFonts w:ascii="宋体" w:hAnsi="宋体"/>
                <w:b w:val="0"/>
                <w:bCs/>
                <w:color w:val="000000" w:themeColor="text1"/>
                <w:sz w:val="21"/>
                <w:szCs w:val="21"/>
              </w:rPr>
              <w:t>设备管理</w:t>
            </w:r>
            <w:r>
              <w:rPr>
                <w:rFonts w:hint="eastAsia" w:ascii="宋体" w:hAnsi="宋体"/>
                <w:b w:val="0"/>
                <w:bCs/>
                <w:color w:val="000000" w:themeColor="text1"/>
                <w:sz w:val="21"/>
                <w:szCs w:val="21"/>
              </w:rPr>
              <w:t>；监视和测量设备管理；产品验收管理；开发过程管理</w:t>
            </w:r>
          </w:p>
        </w:tc>
      </w:tr>
    </w:tbl>
    <w:p>
      <w:pPr>
        <w:jc w:val="left"/>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4"/>
        <w:gridCol w:w="1939"/>
        <w:gridCol w:w="757"/>
        <w:gridCol w:w="3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4" w:type="dxa"/>
          </w:tcPr>
          <w:p>
            <w:pPr>
              <w:rPr>
                <w:b/>
                <w:color w:val="000000" w:themeColor="text1"/>
                <w:sz w:val="20"/>
                <w:szCs w:val="20"/>
              </w:rPr>
            </w:pPr>
            <w:r>
              <w:rPr>
                <w:rFonts w:hint="eastAsia"/>
                <w:b/>
                <w:color w:val="000000" w:themeColor="text1"/>
                <w:sz w:val="20"/>
                <w:szCs w:val="20"/>
              </w:rPr>
              <w:t>产品名称/服务名称</w:t>
            </w:r>
          </w:p>
        </w:tc>
        <w:tc>
          <w:tcPr>
            <w:tcW w:w="1939" w:type="dxa"/>
          </w:tcPr>
          <w:p>
            <w:pPr>
              <w:rPr>
                <w:b/>
                <w:color w:val="000000" w:themeColor="text1"/>
                <w:sz w:val="20"/>
                <w:szCs w:val="20"/>
              </w:rPr>
            </w:pPr>
            <w:r>
              <w:rPr>
                <w:rFonts w:hint="eastAsia"/>
                <w:b/>
                <w:color w:val="000000" w:themeColor="text1"/>
                <w:sz w:val="20"/>
                <w:szCs w:val="20"/>
              </w:rPr>
              <w:t>型号/服务类型</w:t>
            </w:r>
          </w:p>
        </w:tc>
        <w:tc>
          <w:tcPr>
            <w:tcW w:w="757" w:type="dxa"/>
          </w:tcPr>
          <w:p>
            <w:pPr>
              <w:rPr>
                <w:b/>
                <w:color w:val="000000" w:themeColor="text1"/>
                <w:sz w:val="20"/>
                <w:szCs w:val="20"/>
              </w:rPr>
            </w:pPr>
            <w:r>
              <w:rPr>
                <w:rFonts w:hint="eastAsia"/>
                <w:b/>
                <w:color w:val="000000" w:themeColor="text1"/>
                <w:sz w:val="20"/>
                <w:szCs w:val="20"/>
              </w:rPr>
              <w:t>规格</w:t>
            </w:r>
          </w:p>
        </w:tc>
        <w:tc>
          <w:tcPr>
            <w:tcW w:w="3745"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3594" w:type="dxa"/>
          </w:tcPr>
          <w:p>
            <w:pPr>
              <w:rPr>
                <w:b/>
                <w:color w:val="000000" w:themeColor="text1"/>
                <w:sz w:val="20"/>
                <w:szCs w:val="20"/>
              </w:rPr>
            </w:pPr>
            <w:r>
              <w:rPr>
                <w:rFonts w:hint="eastAsia" w:ascii="宋体" w:hAnsi="宋体"/>
                <w:b w:val="0"/>
                <w:bCs/>
                <w:color w:val="000000" w:themeColor="text1"/>
                <w:sz w:val="20"/>
                <w:szCs w:val="20"/>
              </w:rPr>
              <w:t>建筑声学材料、音响器材、智能化会议系统的销售；建筑声学的设计、技术咨询服务；灯光音响系统的设计、安装及调试；投影显示的技术咨询服务</w:t>
            </w:r>
          </w:p>
        </w:tc>
        <w:tc>
          <w:tcPr>
            <w:tcW w:w="1939" w:type="dxa"/>
          </w:tcPr>
          <w:p>
            <w:pPr>
              <w:rPr>
                <w:b/>
                <w:color w:val="000000" w:themeColor="text1"/>
                <w:sz w:val="20"/>
                <w:szCs w:val="20"/>
              </w:rPr>
            </w:pPr>
          </w:p>
        </w:tc>
        <w:tc>
          <w:tcPr>
            <w:tcW w:w="757" w:type="dxa"/>
          </w:tcPr>
          <w:p>
            <w:pPr>
              <w:rPr>
                <w:b/>
                <w:color w:val="000000" w:themeColor="text1"/>
                <w:sz w:val="20"/>
                <w:szCs w:val="20"/>
              </w:rPr>
            </w:pPr>
          </w:p>
        </w:tc>
        <w:tc>
          <w:tcPr>
            <w:tcW w:w="3745" w:type="dxa"/>
          </w:tcPr>
          <w:p>
            <w:pPr>
              <w:rPr>
                <w:b/>
                <w:color w:val="000000" w:themeColor="text1"/>
                <w:sz w:val="20"/>
                <w:szCs w:val="20"/>
              </w:rPr>
            </w:pPr>
            <w:r>
              <w:rPr>
                <w:rFonts w:hint="eastAsia" w:ascii="宋体" w:hAnsi="宋体" w:eastAsia="宋体" w:cs="宋体"/>
                <w:sz w:val="21"/>
                <w:szCs w:val="21"/>
              </w:rPr>
              <w:t>GBT50356-2005</w:t>
            </w:r>
            <w:r>
              <w:rPr>
                <w:rFonts w:hint="eastAsia" w:ascii="宋体" w:hAnsi="宋体" w:cs="宋体"/>
                <w:sz w:val="21"/>
                <w:szCs w:val="21"/>
                <w:lang w:eastAsia="zh-CN"/>
              </w:rPr>
              <w:t>《</w:t>
            </w:r>
            <w:r>
              <w:rPr>
                <w:rFonts w:hint="eastAsia" w:ascii="宋体" w:hAnsi="宋体" w:eastAsia="宋体" w:cs="宋体"/>
                <w:sz w:val="21"/>
                <w:szCs w:val="21"/>
              </w:rPr>
              <w:t>剧场、电影院和多用途厅堂建筑声学设计规范》</w:t>
            </w:r>
            <w:r>
              <w:rPr>
                <w:rFonts w:hint="eastAsia" w:ascii="宋体" w:hAnsi="宋体" w:eastAsia="宋体" w:cs="宋体"/>
                <w:sz w:val="21"/>
                <w:szCs w:val="21"/>
                <w:lang w:eastAsia="zh-CN"/>
              </w:rPr>
              <w:t>、</w:t>
            </w:r>
            <w:r>
              <w:rPr>
                <w:rFonts w:hint="eastAsia" w:ascii="宋体" w:hAnsi="宋体" w:eastAsia="宋体" w:cs="宋体"/>
                <w:sz w:val="21"/>
                <w:szCs w:val="21"/>
              </w:rPr>
              <w:t>JGJ57-2016《剧场建筑设计规范》</w:t>
            </w:r>
            <w:r>
              <w:rPr>
                <w:rFonts w:hint="eastAsia" w:ascii="宋体" w:hAnsi="宋体" w:eastAsia="宋体" w:cs="宋体"/>
                <w:sz w:val="21"/>
                <w:szCs w:val="21"/>
                <w:lang w:eastAsia="zh-CN"/>
              </w:rPr>
              <w:t>、</w:t>
            </w:r>
            <w:r>
              <w:rPr>
                <w:rFonts w:hint="eastAsia" w:ascii="宋体" w:hAnsi="宋体" w:eastAsia="宋体" w:cs="宋体"/>
                <w:sz w:val="21"/>
                <w:szCs w:val="21"/>
              </w:rPr>
              <w:t>GB/T 50076-2013《室内混响时间测量规范》</w:t>
            </w:r>
            <w:r>
              <w:rPr>
                <w:rFonts w:hint="eastAsia" w:ascii="宋体" w:hAnsi="宋体" w:eastAsia="宋体" w:cs="宋体"/>
                <w:sz w:val="21"/>
                <w:szCs w:val="21"/>
                <w:lang w:eastAsia="zh-CN"/>
              </w:rPr>
              <w:t>、</w:t>
            </w:r>
            <w:r>
              <w:rPr>
                <w:rFonts w:hint="eastAsia" w:ascii="宋体" w:hAnsi="宋体" w:eastAsia="宋体" w:cs="宋体"/>
                <w:sz w:val="21"/>
                <w:szCs w:val="21"/>
              </w:rPr>
              <w:t>GB 50222-2017《建筑内部装修设计防火规范》</w:t>
            </w:r>
          </w:p>
        </w:tc>
      </w:tr>
    </w:tbl>
    <w:p>
      <w:pPr>
        <w:spacing w:line="360" w:lineRule="auto"/>
        <w:ind w:left="-137" w:leftChars="-337" w:hanging="571" w:hangingChars="271"/>
        <w:rPr>
          <w:b/>
          <w:color w:val="000000" w:themeColor="text1"/>
          <w:szCs w:val="21"/>
        </w:rPr>
      </w:pPr>
    </w:p>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☑体系运行开始的2019年6月</w:t>
      </w:r>
      <w:bookmarkStart w:id="6" w:name="OLE_LINK1"/>
      <w:r>
        <w:rPr>
          <w:rFonts w:hint="eastAsia"/>
          <w:b/>
          <w:color w:val="000000" w:themeColor="text1"/>
          <w:spacing w:val="-10"/>
          <w:szCs w:val="21"/>
        </w:rPr>
        <w:t>1日</w:t>
      </w:r>
      <w:bookmarkEnd w:id="6"/>
      <w:r>
        <w:rPr>
          <w:rFonts w:hint="eastAsia"/>
          <w:b/>
          <w:color w:val="000000" w:themeColor="text1"/>
          <w:spacing w:val="-10"/>
          <w:szCs w:val="21"/>
        </w:rPr>
        <w:t>至2020年</w:t>
      </w:r>
      <w:r>
        <w:rPr>
          <w:rFonts w:hint="eastAsia"/>
          <w:b/>
          <w:color w:val="000000" w:themeColor="text1"/>
          <w:spacing w:val="-10"/>
          <w:szCs w:val="21"/>
          <w:lang w:val="en-US" w:eastAsia="zh-CN"/>
        </w:rPr>
        <w:t>11</w:t>
      </w:r>
      <w:r>
        <w:rPr>
          <w:rFonts w:hint="eastAsia"/>
          <w:b/>
          <w:color w:val="000000" w:themeColor="text1"/>
          <w:spacing w:val="-10"/>
          <w:szCs w:val="21"/>
        </w:rPr>
        <w:t>月</w:t>
      </w:r>
      <w:r>
        <w:rPr>
          <w:rFonts w:hint="eastAsia"/>
          <w:b/>
          <w:color w:val="000000" w:themeColor="text1"/>
          <w:spacing w:val="-10"/>
          <w:szCs w:val="21"/>
          <w:lang w:val="en-US" w:eastAsia="zh-CN"/>
        </w:rPr>
        <w:t>27</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360" w:lineRule="auto"/>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360" w:lineRule="auto"/>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360" w:lineRule="auto"/>
              <w:ind w:firstLine="420" w:firstLineChars="200"/>
            </w:pPr>
            <w:r>
              <w:rPr>
                <w:rFonts w:hint="eastAsia"/>
              </w:rPr>
              <w:t>公司识别并确定了利益相关方：顾客、外部供应商、员工及其他为本公司工作的人员或组织等。</w:t>
            </w:r>
          </w:p>
          <w:p>
            <w:pPr>
              <w:spacing w:line="360" w:lineRule="auto"/>
            </w:pPr>
            <w:r>
              <w:rPr>
                <w:rFonts w:hint="eastAsia"/>
              </w:rPr>
              <w:t>总经理介绍公司通过投标、合同约定、不同形式沟通（如：电话、面对面、调查问卷等）形式了解相关方的需求，然后提供出满足他们要求提供优质产品和完善的服务，目前公司能满足相关方的需求和期望。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9"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rPr>
                <w:rFonts w:ascii="宋体" w:hAnsi="宋体"/>
                <w:b/>
                <w:color w:val="000000" w:themeColor="text1"/>
                <w:sz w:val="20"/>
                <w:szCs w:val="20"/>
              </w:rPr>
            </w:pPr>
            <w:r>
              <w:rPr>
                <w:b/>
                <w:color w:val="000000" w:themeColor="text1"/>
                <w:sz w:val="20"/>
                <w:szCs w:val="20"/>
              </w:rPr>
              <w:t>3.</w:t>
            </w:r>
            <w:r>
              <w:rPr>
                <w:rFonts w:hint="eastAsia" w:ascii="宋体" w:hAnsi="宋体"/>
              </w:rPr>
              <w:t xml:space="preserve"> ☑</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360" w:lineRule="auto"/>
              <w:ind w:left="199" w:leftChars="95"/>
              <w:rPr>
                <w:b/>
                <w:color w:val="000000" w:themeColor="text1"/>
              </w:rPr>
            </w:pPr>
            <w:r>
              <w:rPr>
                <w:rFonts w:hint="eastAsia" w:ascii="宋体" w:hAnsi="宋体"/>
                <w:color w:val="000000" w:themeColor="text1"/>
              </w:rPr>
              <w:t>最高管理者组织制定了方针：现行的管理方针在管理手册有专门的释议，具备适宜性。通过</w:t>
            </w:r>
            <w:r>
              <w:rPr>
                <w:rFonts w:hint="eastAsia" w:ascii="宋体" w:hAnsi="宋体" w:cs="宋体"/>
                <w:color w:val="000000"/>
              </w:rPr>
              <w:t>日常工作会议、口头交流</w:t>
            </w:r>
            <w:r>
              <w:rPr>
                <w:rFonts w:hint="eastAsia" w:ascii="宋体" w:hAnsi="宋体"/>
                <w:color w:val="000000" w:themeColor="text1"/>
              </w:rPr>
              <w:t>等</w:t>
            </w:r>
            <w:r>
              <w:rPr>
                <w:rFonts w:hint="eastAsia" w:ascii="宋体" w:hAnsi="宋体" w:cs="宋体"/>
                <w:color w:val="000000"/>
              </w:rPr>
              <w:t>将质量方针的要求向全员传达和灌输</w:t>
            </w:r>
            <w:r>
              <w:rPr>
                <w:rFonts w:hint="eastAsia" w:ascii="宋体" w:hAnsi="宋体"/>
                <w:color w:val="000000" w:themeColor="text1"/>
              </w:rPr>
              <w:t>，</w:t>
            </w:r>
            <w:r>
              <w:rPr>
                <w:rFonts w:hint="eastAsia" w:ascii="宋体" w:hAnsi="宋体" w:cs="宋体"/>
                <w:color w:val="000000"/>
              </w:rPr>
              <w:t>确保员工增强顾客满意和守法意识</w:t>
            </w:r>
            <w:r>
              <w:rPr>
                <w:rFonts w:hint="eastAsia" w:ascii="宋体" w:hAnsi="宋体"/>
                <w:color w:val="000000" w:themeColor="text1"/>
              </w:rPr>
              <w:t>。管理方针：</w:t>
            </w:r>
            <w:r>
              <w:rPr>
                <w:rFonts w:hint="eastAsia" w:ascii="宋体" w:hAnsi="宋体"/>
                <w:szCs w:val="21"/>
              </w:rPr>
              <w:t>质量为本、顾客至上、持续改进、追求最佳。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rPr>
                <w:b/>
                <w:color w:val="000000" w:themeColor="text1"/>
              </w:rPr>
            </w:pPr>
            <w:r>
              <w:rPr>
                <w:b/>
                <w:color w:val="000000" w:themeColor="text1"/>
              </w:rPr>
              <w:t>4、</w:t>
            </w:r>
            <w:r>
              <w:rPr>
                <w:rFonts w:hint="eastAsia"/>
                <w:b/>
                <w:color w:val="000000" w:themeColor="text1"/>
              </w:rPr>
              <w:t>风险识别与控制策划（QMS）</w:t>
            </w:r>
          </w:p>
          <w:p>
            <w:pPr>
              <w:spacing w:line="360" w:lineRule="auto"/>
              <w:rPr>
                <w:b/>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60" w:lineRule="auto"/>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60" w:lineRule="auto"/>
              <w:ind w:left="201" w:hanging="201" w:hangingChars="100"/>
              <w:rPr>
                <w:rFonts w:ascii="宋体" w:hAnsi="宋体"/>
                <w:b w:val="0"/>
                <w:bCs/>
                <w:color w:val="000000" w:themeColor="text1"/>
                <w:sz w:val="20"/>
                <w:szCs w:val="20"/>
              </w:rPr>
            </w:pPr>
            <w:r>
              <w:rPr>
                <w:rFonts w:hint="eastAsia" w:ascii="宋体" w:hAnsi="宋体"/>
                <w:b/>
                <w:color w:val="000000" w:themeColor="text1"/>
                <w:sz w:val="20"/>
                <w:szCs w:val="20"/>
              </w:rPr>
              <w:t>质量管理体系过程有：</w:t>
            </w:r>
            <w:r>
              <w:rPr>
                <w:rFonts w:hint="eastAsia" w:ascii="宋体" w:hAnsi="宋体"/>
                <w:b w:val="0"/>
                <w:bCs/>
                <w:color w:val="000000" w:themeColor="text1"/>
                <w:sz w:val="20"/>
                <w:szCs w:val="20"/>
              </w:rPr>
              <w:t>建筑声学材料、音响器材、智能化会议系统的销售；建筑声学的设计、技术咨询服务；灯光音响系统的设计、安装及调试；投影显示的技术咨询服务</w:t>
            </w:r>
          </w:p>
          <w:p>
            <w:pPr>
              <w:tabs>
                <w:tab w:val="left" w:pos="540"/>
              </w:tabs>
              <w:spacing w:line="360" w:lineRule="auto"/>
              <w:ind w:left="201" w:hanging="201" w:hangingChars="100"/>
              <w:jc w:val="left"/>
              <w:rPr>
                <w:rFonts w:ascii="宋体" w:hAnsi="宋体"/>
                <w:b w:val="0"/>
                <w:bCs/>
                <w:color w:val="000000" w:themeColor="text1"/>
                <w:sz w:val="20"/>
                <w:szCs w:val="20"/>
              </w:rPr>
            </w:pPr>
            <w:r>
              <w:rPr>
                <w:rFonts w:hint="eastAsia" w:ascii="宋体" w:hAnsi="宋体"/>
                <w:b/>
                <w:color w:val="000000" w:themeColor="text1"/>
                <w:sz w:val="20"/>
                <w:szCs w:val="20"/>
              </w:rPr>
              <w:t xml:space="preserve">其中关键过程有 </w:t>
            </w:r>
            <w:r>
              <w:rPr>
                <w:rFonts w:hint="eastAsia" w:ascii="宋体" w:hAnsi="宋体"/>
                <w:b/>
                <w:color w:val="000000" w:themeColor="text1"/>
                <w:sz w:val="20"/>
                <w:szCs w:val="20"/>
                <w:lang w:eastAsia="zh-CN"/>
              </w:rPr>
              <w:t>：</w:t>
            </w:r>
            <w:r>
              <w:rPr>
                <w:rFonts w:hint="eastAsia" w:ascii="宋体" w:hAnsi="宋体"/>
                <w:b w:val="0"/>
                <w:bCs/>
                <w:color w:val="000000" w:themeColor="text1"/>
                <w:sz w:val="20"/>
                <w:szCs w:val="20"/>
                <w:lang w:eastAsia="zh-CN"/>
              </w:rPr>
              <w:t>销售服务、技术咨询服务过程、设计开发过</w:t>
            </w:r>
            <w:r>
              <w:rPr>
                <w:rFonts w:hint="eastAsia" w:ascii="宋体" w:hAnsi="宋体"/>
                <w:b w:val="0"/>
                <w:bCs/>
                <w:color w:val="000000" w:themeColor="text1"/>
                <w:sz w:val="20"/>
                <w:szCs w:val="20"/>
                <w:lang w:val="en-US" w:eastAsia="zh-CN"/>
              </w:rPr>
              <w:t>程</w:t>
            </w:r>
            <w:r>
              <w:rPr>
                <w:rFonts w:hint="eastAsia" w:ascii="宋体" w:hAnsi="宋体"/>
                <w:b w:val="0"/>
                <w:bCs/>
                <w:color w:val="000000" w:themeColor="text1"/>
                <w:sz w:val="20"/>
                <w:szCs w:val="20"/>
              </w:rPr>
              <w:t>，</w:t>
            </w:r>
          </w:p>
          <w:p>
            <w:pPr>
              <w:tabs>
                <w:tab w:val="left" w:pos="540"/>
              </w:tabs>
              <w:spacing w:line="360" w:lineRule="auto"/>
              <w:ind w:left="201" w:hanging="201" w:hangingChars="100"/>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lang w:eastAsia="zh-CN"/>
              </w:rPr>
              <w:t>：</w:t>
            </w:r>
            <w:r>
              <w:rPr>
                <w:rFonts w:hint="eastAsia" w:ascii="宋体" w:hAnsi="宋体"/>
                <w:b w:val="0"/>
                <w:bCs/>
                <w:color w:val="000000" w:themeColor="text1"/>
                <w:sz w:val="20"/>
                <w:szCs w:val="20"/>
                <w:lang w:eastAsia="zh-CN"/>
              </w:rPr>
              <w:t>销售服务</w:t>
            </w:r>
          </w:p>
          <w:p>
            <w:pPr>
              <w:tabs>
                <w:tab w:val="left" w:pos="540"/>
              </w:tabs>
              <w:spacing w:line="360" w:lineRule="auto"/>
              <w:ind w:left="211" w:hanging="201" w:hangingChars="100"/>
              <w:rPr>
                <w:rFonts w:ascii="宋体" w:hAnsi="宋体"/>
                <w:b/>
                <w:color w:val="000000" w:themeColor="text1"/>
                <w:szCs w:val="21"/>
              </w:rPr>
            </w:pPr>
            <w:r>
              <w:rPr>
                <w:b/>
                <w:color w:val="000000" w:themeColor="text1"/>
                <w:sz w:val="20"/>
                <w:szCs w:val="20"/>
              </w:rPr>
              <w:pict>
                <v:shape id="_x0000_s1028" o:spid="_x0000_s1028"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无     ，不适用理由：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60" w:lineRule="auto"/>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60" w:lineRule="auto"/>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60" w:lineRule="auto"/>
              <w:rPr>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60" w:lineRule="auto"/>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60" w:lineRule="auto"/>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60" w:lineRule="auto"/>
              <w:rPr>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60" w:lineRule="auto"/>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pStyle w:val="12"/>
              <w:numPr>
                <w:ilvl w:val="0"/>
                <w:numId w:val="0"/>
              </w:numPr>
              <w:tabs>
                <w:tab w:val="left" w:pos="540"/>
              </w:tabs>
              <w:spacing w:line="360" w:lineRule="auto"/>
              <w:ind w:leftChars="0" w:firstLine="211" w:firstLineChars="100"/>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2"/>
              <w:numPr>
                <w:ilvl w:val="0"/>
                <w:numId w:val="2"/>
              </w:numPr>
              <w:tabs>
                <w:tab w:val="left" w:pos="540"/>
              </w:tabs>
              <w:spacing w:line="360" w:lineRule="auto"/>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2"/>
              <w:numPr>
                <w:ilvl w:val="0"/>
                <w:numId w:val="2"/>
              </w:numPr>
              <w:tabs>
                <w:tab w:val="left" w:pos="540"/>
              </w:tabs>
              <w:spacing w:line="360" w:lineRule="auto"/>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cs="宋体"/>
                <w:szCs w:val="21"/>
              </w:rPr>
              <w:t>通过培训、开会、发文件等形式将法律法规要求传达给了员工和相关方。</w:t>
            </w:r>
          </w:p>
          <w:p>
            <w:pPr>
              <w:pStyle w:val="12"/>
              <w:numPr>
                <w:ilvl w:val="0"/>
                <w:numId w:val="2"/>
              </w:numPr>
              <w:tabs>
                <w:tab w:val="left" w:pos="540"/>
              </w:tabs>
              <w:spacing w:line="360" w:lineRule="auto"/>
              <w:ind w:firstLineChars="0"/>
              <w:rPr>
                <w:b/>
                <w:color w:val="000000" w:themeColor="text1"/>
                <w:sz w:val="14"/>
                <w:szCs w:val="14"/>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r>
              <w:rPr>
                <w:rFonts w:hint="eastAsia" w:ascii="宋体" w:hAnsi="宋体"/>
                <w:b w:val="0"/>
                <w:bCs/>
                <w:color w:val="000000" w:themeColor="text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60" w:lineRule="auto"/>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60" w:lineRule="auto"/>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60" w:lineRule="auto"/>
              <w:rPr>
                <w:rFonts w:ascii="宋体" w:hAnsi="宋体" w:cs="宋体"/>
                <w:color w:val="000000"/>
                <w:kern w:val="0"/>
                <w:szCs w:val="21"/>
              </w:rPr>
            </w:pPr>
            <w:r>
              <w:rPr>
                <w:rFonts w:hint="eastAsia" w:ascii="宋体" w:hAnsi="宋体" w:cs="宋体"/>
                <w:color w:val="000000"/>
                <w:kern w:val="0"/>
                <w:szCs w:val="21"/>
              </w:rPr>
              <w:t>质量目标：</w:t>
            </w:r>
          </w:p>
          <w:p>
            <w:pPr>
              <w:spacing w:line="360" w:lineRule="auto"/>
              <w:rPr>
                <w:rFonts w:ascii="宋体" w:cs="宋体"/>
                <w:szCs w:val="21"/>
              </w:rPr>
            </w:pPr>
            <w:r>
              <w:rPr>
                <w:rFonts w:hint="eastAsia" w:ascii="宋体" w:hAnsi="宋体" w:cs="宋体"/>
                <w:color w:val="000000"/>
                <w:kern w:val="0"/>
                <w:szCs w:val="21"/>
              </w:rPr>
              <w:t>a、</w:t>
            </w:r>
            <w:r>
              <w:rPr>
                <w:rFonts w:hint="eastAsia" w:ascii="宋体" w:hAnsi="宋体" w:cs="宋体"/>
                <w:color w:val="000000"/>
                <w:kern w:val="0"/>
                <w:szCs w:val="21"/>
                <w:lang w:val="en-US" w:eastAsia="zh-CN"/>
              </w:rPr>
              <w:t>技术</w:t>
            </w:r>
            <w:r>
              <w:rPr>
                <w:rFonts w:hint="eastAsia" w:ascii="宋体" w:hAnsi="宋体" w:cs="宋体"/>
                <w:color w:val="000000"/>
                <w:kern w:val="0"/>
                <w:szCs w:val="21"/>
                <w:lang w:eastAsia="zh-CN"/>
              </w:rPr>
              <w:t>服务合格率100％</w:t>
            </w:r>
            <w:r>
              <w:rPr>
                <w:rFonts w:hint="eastAsia" w:ascii="宋体" w:hAnsi="宋体" w:cs="宋体"/>
                <w:color w:val="000000"/>
                <w:kern w:val="0"/>
                <w:szCs w:val="21"/>
              </w:rPr>
              <w:t>；b、顾客满意率9</w:t>
            </w:r>
            <w:r>
              <w:rPr>
                <w:rFonts w:hint="eastAsia" w:ascii="宋体" w:hAnsi="宋体" w:cs="宋体"/>
                <w:color w:val="000000"/>
                <w:kern w:val="0"/>
                <w:szCs w:val="21"/>
                <w:lang w:val="en-US" w:eastAsia="zh-CN"/>
              </w:rPr>
              <w:t>5</w:t>
            </w:r>
            <w:r>
              <w:rPr>
                <w:rFonts w:hint="eastAsia" w:ascii="宋体" w:hAnsi="宋体" w:cs="宋体"/>
                <w:color w:val="000000"/>
                <w:kern w:val="0"/>
                <w:szCs w:val="21"/>
              </w:rPr>
              <w:t>%</w:t>
            </w:r>
            <w:r>
              <w:rPr>
                <w:rFonts w:hint="eastAsia" w:ascii="宋体" w:hAnsi="宋体" w:cs="宋体"/>
                <w:color w:val="000000"/>
                <w:kern w:val="0"/>
                <w:szCs w:val="21"/>
                <w:lang w:val="en-US" w:eastAsia="zh-CN"/>
              </w:rPr>
              <w:t>以上</w:t>
            </w:r>
            <w:r>
              <w:rPr>
                <w:rFonts w:hint="eastAsia" w:ascii="宋体" w:hAnsi="宋体" w:cs="宋体"/>
                <w:color w:val="000000"/>
                <w:kern w:val="0"/>
                <w:szCs w:val="21"/>
              </w:rPr>
              <w:t>。</w:t>
            </w:r>
          </w:p>
          <w:p>
            <w:pPr>
              <w:spacing w:line="360" w:lineRule="auto"/>
              <w:rPr>
                <w:rFonts w:ascii="宋体" w:hAnsi="宋体"/>
                <w:b/>
                <w:color w:val="000000" w:themeColor="text1"/>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60" w:lineRule="auto"/>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360" w:lineRule="auto"/>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2019</w:t>
            </w:r>
            <w:r>
              <w:rPr>
                <w:rFonts w:hint="eastAsia" w:ascii="宋体" w:hAnsi="宋体" w:cs="宋体"/>
                <w:color w:val="000000" w:themeColor="text1"/>
              </w:rPr>
              <w:t>年6月1日予以发布并有效实施运行，经对文件评审判定：符合标准要求，符合公司的实际且具有可操作性。组织对管理体系文件化信息进行了有效性管理，包括文件的格式、标识、批准、修改、发放等环节，组织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60" w:lineRule="auto"/>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360" w:lineRule="auto"/>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60" w:lineRule="auto"/>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60" w:lineRule="auto"/>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360" w:lineRule="auto"/>
              <w:rPr>
                <w:rFonts w:ascii="宋体" w:hAnsi="宋体"/>
                <w:b/>
                <w:color w:val="000000" w:themeColor="text1"/>
                <w:sz w:val="20"/>
                <w:szCs w:val="20"/>
              </w:rPr>
            </w:pPr>
            <w:r>
              <w:rPr>
                <w:rFonts w:hint="eastAsia" w:ascii="宋体" w:hAnsi="宋体"/>
                <w:szCs w:val="21"/>
              </w:rPr>
              <w:t>主要生产设备包括：声场分析仪</w:t>
            </w:r>
            <w:r>
              <w:rPr>
                <w:rFonts w:hint="eastAsia" w:ascii="宋体" w:hAnsi="宋体"/>
                <w:szCs w:val="21"/>
                <w:lang w:eastAsia="zh-CN"/>
              </w:rPr>
              <w:t>、笔记本、测距仪、万用表</w:t>
            </w:r>
            <w:r>
              <w:rPr>
                <w:rFonts w:hint="eastAsia" w:ascii="宋体" w:hAnsi="宋体"/>
                <w:szCs w:val="21"/>
              </w:rPr>
              <w:t>等，可以满足</w:t>
            </w:r>
            <w:r>
              <w:rPr>
                <w:rFonts w:hint="eastAsia" w:ascii="宋体" w:hAnsi="宋体"/>
                <w:szCs w:val="21"/>
                <w:lang w:val="en-US" w:eastAsia="zh-CN"/>
              </w:rPr>
              <w:t>服务</w:t>
            </w:r>
            <w:r>
              <w:rPr>
                <w:rFonts w:hint="eastAsia" w:ascii="宋体" w:hAnsi="宋体"/>
                <w:szCs w:val="21"/>
              </w:rPr>
              <w:t>需要。对设备按</w:t>
            </w:r>
            <w:r>
              <w:rPr>
                <w:rFonts w:hint="eastAsia" w:ascii="宋体" w:hAnsi="宋体"/>
                <w:szCs w:val="21"/>
                <w:lang w:val="en-US" w:eastAsia="zh-CN"/>
              </w:rPr>
              <w:t>季度</w:t>
            </w:r>
            <w:r>
              <w:rPr>
                <w:rFonts w:hint="eastAsia" w:ascii="宋体" w:hAnsi="宋体"/>
                <w:szCs w:val="21"/>
              </w:rPr>
              <w:t>方式进行点检维护保养，并实施。特种设备：无。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60" w:lineRule="auto"/>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360" w:lineRule="auto"/>
              <w:rPr>
                <w:rFonts w:ascii="宋体" w:hAnsi="宋体"/>
                <w:b/>
                <w:color w:val="000000" w:themeColor="text1"/>
                <w:sz w:val="20"/>
                <w:szCs w:val="20"/>
              </w:rPr>
            </w:pPr>
            <w:r>
              <w:rPr>
                <w:rFonts w:hint="eastAsia" w:ascii="宋体" w:hAnsi="宋体"/>
                <w:szCs w:val="21"/>
                <w:lang w:val="en-US" w:eastAsia="zh-CN"/>
              </w:rPr>
              <w:t>办公室</w:t>
            </w:r>
            <w:r>
              <w:rPr>
                <w:rFonts w:hint="eastAsia" w:ascii="宋体" w:hAnsi="宋体"/>
                <w:szCs w:val="21"/>
              </w:rPr>
              <w:t>内设备布置合理，通道部分不畅通，照明设施齐全，均配备了</w:t>
            </w:r>
            <w:r>
              <w:rPr>
                <w:rFonts w:hint="eastAsia" w:ascii="宋体" w:hAnsi="宋体"/>
                <w:szCs w:val="21"/>
                <w:lang w:val="en-US" w:eastAsia="zh-CN"/>
              </w:rPr>
              <w:t>空调</w:t>
            </w:r>
            <w:r>
              <w:rPr>
                <w:rFonts w:hint="eastAsia" w:ascii="宋体" w:hAnsi="宋体"/>
                <w:szCs w:val="21"/>
              </w:rPr>
              <w:t>、消防设施等设施，场所光线较充足。</w:t>
            </w:r>
            <w:r>
              <w:rPr>
                <w:rFonts w:hint="eastAsia" w:ascii="宋体" w:hAnsi="宋体"/>
                <w:szCs w:val="21"/>
                <w:lang w:val="en-US" w:eastAsia="zh-CN"/>
              </w:rPr>
              <w:t>办公</w:t>
            </w:r>
            <w:r>
              <w:rPr>
                <w:rFonts w:hint="eastAsia" w:ascii="宋体" w:hAnsi="宋体"/>
                <w:szCs w:val="21"/>
              </w:rPr>
              <w:t>区域对环境要求不高，目前工作环境符合生产需要。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60" w:lineRule="auto"/>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360" w:lineRule="auto"/>
              <w:rPr>
                <w:rFonts w:ascii="宋体" w:hAnsi="宋体"/>
                <w:b/>
                <w:color w:val="000000" w:themeColor="text1"/>
                <w:sz w:val="20"/>
                <w:szCs w:val="20"/>
              </w:rPr>
            </w:pPr>
            <w:r>
              <w:rPr>
                <w:rFonts w:hint="eastAsia"/>
                <w:szCs w:val="22"/>
                <w:lang w:val="en-US" w:eastAsia="zh-CN"/>
              </w:rPr>
              <w:t>技术</w:t>
            </w:r>
            <w:r>
              <w:rPr>
                <w:rFonts w:hint="eastAsia"/>
                <w:szCs w:val="22"/>
              </w:rPr>
              <w:t>部按策划的要求配置了相应的检测设备，均采用委外送检的方式。主要检测设备有</w:t>
            </w:r>
            <w:r>
              <w:rPr>
                <w:rFonts w:hint="eastAsia" w:ascii="宋体" w:hAnsi="宋体"/>
                <w:szCs w:val="21"/>
              </w:rPr>
              <w:t>声场分析仪</w:t>
            </w:r>
            <w:r>
              <w:rPr>
                <w:rFonts w:hint="eastAsia" w:ascii="宋体" w:hAnsi="宋体"/>
                <w:szCs w:val="21"/>
                <w:lang w:eastAsia="zh-CN"/>
              </w:rPr>
              <w:t>、笔记本、测距仪、万用表</w:t>
            </w:r>
            <w:r>
              <w:rPr>
                <w:rFonts w:hint="eastAsia" w:ascii="宋体" w:hAnsi="宋体"/>
                <w:szCs w:val="21"/>
              </w:rPr>
              <w:t>等</w:t>
            </w:r>
            <w:r>
              <w:rPr>
                <w:rFonts w:hint="eastAsia"/>
                <w:szCs w:val="22"/>
              </w:rPr>
              <w:t>。</w:t>
            </w:r>
            <w:r>
              <w:rPr>
                <w:rFonts w:hint="eastAsia" w:ascii="宋体" w:hAnsi="宋体"/>
                <w:szCs w:val="21"/>
              </w:rPr>
              <w:t>均能提供在用量具的有效检定或校准证。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60" w:lineRule="auto"/>
              <w:rPr>
                <w:rFonts w:ascii="宋体" w:hAnsi="宋体"/>
                <w:b/>
                <w:color w:val="000000" w:themeColor="text1"/>
                <w:sz w:val="20"/>
                <w:szCs w:val="20"/>
              </w:rPr>
            </w:pPr>
            <w:r>
              <w:rPr>
                <w:rFonts w:hint="eastAsia" w:ascii="宋体" w:hAnsi="宋体"/>
                <w:b/>
                <w:color w:val="000000" w:themeColor="text1"/>
                <w:sz w:val="20"/>
                <w:szCs w:val="20"/>
              </w:rPr>
              <w:t>知识</w:t>
            </w:r>
          </w:p>
          <w:p>
            <w:pPr>
              <w:adjustRightInd w:val="0"/>
              <w:snapToGrid w:val="0"/>
              <w:spacing w:line="360" w:lineRule="auto"/>
              <w:ind w:firstLine="420" w:firstLineChars="200"/>
              <w:rPr>
                <w:rFonts w:ascii="宋体" w:hAnsi="宋体" w:cs="宋体"/>
              </w:rPr>
            </w:pPr>
            <w:r>
              <w:rPr>
                <w:rFonts w:hint="eastAsia" w:ascii="宋体" w:hAnsi="宋体" w:cs="宋体"/>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hint="eastAsia" w:ascii="宋体" w:hAnsi="宋体" w:eastAsia="宋体"/>
                <w:b/>
                <w:color w:val="000000" w:themeColor="text1"/>
                <w:sz w:val="20"/>
                <w:szCs w:val="20"/>
                <w:lang w:eastAsia="zh-CN"/>
              </w:rPr>
            </w:pPr>
            <w:r>
              <w:rPr>
                <w:rFonts w:hint="eastAsia" w:ascii="宋体" w:hAnsi="宋体" w:cs="宋体"/>
              </w:rPr>
              <w:t>--公司明确组织知识作为公司的重要资源，按内部文件或外来文件予以受控管理，包括必要的分级保密措施</w:t>
            </w:r>
            <w:r>
              <w:rPr>
                <w:rFonts w:hint="eastAsia" w:ascii="宋体" w:hAnsi="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60" w:lineRule="auto"/>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360" w:lineRule="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60" w:lineRule="auto"/>
              <w:rPr>
                <w:rFonts w:hint="eastAsia" w:ascii="宋体" w:hAnsi="宋体"/>
                <w:b/>
                <w:color w:val="000000" w:themeColor="text1"/>
                <w:sz w:val="20"/>
                <w:szCs w:val="20"/>
              </w:rPr>
            </w:pPr>
            <w:r>
              <w:rPr>
                <w:rFonts w:hint="eastAsia" w:ascii="宋体" w:hAnsi="宋体"/>
                <w:b/>
                <w:color w:val="000000" w:themeColor="text1"/>
                <w:sz w:val="20"/>
                <w:szCs w:val="20"/>
              </w:rPr>
              <w:t>职业健康安全设施：</w:t>
            </w:r>
          </w:p>
          <w:p>
            <w:pPr>
              <w:spacing w:line="360" w:lineRule="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8"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60" w:lineRule="auto"/>
              <w:rPr>
                <w:b/>
                <w:color w:val="000000" w:themeColor="text1"/>
                <w:sz w:val="20"/>
                <w:szCs w:val="20"/>
              </w:rPr>
            </w:pPr>
            <w:r>
              <w:rPr>
                <w:rFonts w:hint="eastAsia"/>
                <w:b/>
                <w:color w:val="000000" w:themeColor="text1"/>
                <w:sz w:val="20"/>
                <w:szCs w:val="20"/>
              </w:rPr>
              <w:t>1. 针对方针的管理职责评审</w:t>
            </w:r>
          </w:p>
          <w:p>
            <w:pPr>
              <w:spacing w:line="360" w:lineRule="auto"/>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60" w:lineRule="auto"/>
              <w:ind w:left="1"/>
              <w:rPr>
                <w:b/>
                <w:color w:val="000000" w:themeColor="text1"/>
                <w:sz w:val="20"/>
                <w:szCs w:val="20"/>
              </w:rPr>
            </w:pPr>
            <w:r>
              <w:rPr>
                <w:rFonts w:hint="eastAsia" w:ascii="宋体" w:hAnsi="宋体"/>
                <w:color w:val="000000" w:themeColor="text1"/>
              </w:rPr>
              <w:t>最高管理者组织制定了方针：现行的管理方针在管理手册有专门的释议，具备适宜性。通过</w:t>
            </w:r>
            <w:r>
              <w:rPr>
                <w:rFonts w:hint="eastAsia" w:ascii="宋体" w:hAnsi="宋体" w:cs="宋体"/>
                <w:color w:val="000000"/>
              </w:rPr>
              <w:t>日常工作会议、口头交流</w:t>
            </w:r>
            <w:r>
              <w:rPr>
                <w:rFonts w:hint="eastAsia" w:ascii="宋体" w:hAnsi="宋体"/>
                <w:color w:val="000000" w:themeColor="text1"/>
              </w:rPr>
              <w:t>等</w:t>
            </w:r>
            <w:r>
              <w:rPr>
                <w:rFonts w:hint="eastAsia" w:ascii="宋体" w:hAnsi="宋体" w:cs="宋体"/>
                <w:color w:val="000000"/>
              </w:rPr>
              <w:t>将质量方针的要求向全员传达和灌输</w:t>
            </w:r>
            <w:r>
              <w:rPr>
                <w:rFonts w:hint="eastAsia" w:ascii="宋体" w:hAnsi="宋体"/>
                <w:color w:val="000000" w:themeColor="text1"/>
              </w:rPr>
              <w:t>，</w:t>
            </w:r>
            <w:r>
              <w:rPr>
                <w:rFonts w:hint="eastAsia" w:ascii="宋体" w:hAnsi="宋体" w:cs="宋体"/>
                <w:color w:val="000000"/>
              </w:rPr>
              <w:t>确保员工增强顾客满意和守法意识。管理方针：满足顾客需求，提供优质服务，强化过程管理，致力持续改进。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60" w:lineRule="auto"/>
              <w:ind w:left="159" w:hanging="159" w:hangingChars="79"/>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内部沟通的效果：</w:t>
            </w:r>
            <w:r>
              <w:rPr>
                <w:rFonts w:hint="eastAsia" w:ascii="宋体" w:hAnsi="宋体" w:cs="宋体"/>
                <w:color w:val="000000"/>
                <w:szCs w:val="21"/>
              </w:rPr>
              <w:t>良好</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360" w:lineRule="auto"/>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360" w:lineRule="auto"/>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60" w:lineRule="auto"/>
              <w:rPr>
                <w:rFonts w:hint="eastAsia" w:ascii="宋体" w:hAnsi="宋体" w:cs="宋体"/>
                <w:color w:val="000000"/>
                <w:szCs w:val="21"/>
              </w:rPr>
            </w:pPr>
            <w:r>
              <w:rPr>
                <w:rFonts w:hint="eastAsia"/>
                <w:b/>
                <w:color w:val="000000" w:themeColor="text1"/>
                <w:sz w:val="20"/>
                <w:szCs w:val="20"/>
              </w:rPr>
              <w:t>3</w:t>
            </w:r>
            <w:r>
              <w:rPr>
                <w:rFonts w:hint="eastAsia"/>
                <w:b/>
                <w:color w:val="000000" w:themeColor="text1"/>
                <w:sz w:val="20"/>
                <w:szCs w:val="20"/>
                <w:highlight w:val="yellow"/>
              </w:rPr>
              <w:t>.</w:t>
            </w:r>
            <w:r>
              <w:rPr>
                <w:rFonts w:hint="eastAsia" w:ascii="宋体" w:hAnsi="宋体" w:cs="宋体"/>
                <w:b/>
                <w:bCs/>
                <w:color w:val="000000"/>
                <w:szCs w:val="21"/>
              </w:rPr>
              <w:t xml:space="preserve">  QMS 组织对重要过程实施控制的结果</w:t>
            </w:r>
          </w:p>
          <w:p>
            <w:pPr>
              <w:spacing w:line="360" w:lineRule="auto"/>
              <w:rPr>
                <w:rFonts w:hint="eastAsia" w:ascii="宋体" w:hAnsi="宋体" w:cs="宋体"/>
                <w:color w:val="000000"/>
                <w:szCs w:val="21"/>
              </w:rPr>
            </w:pPr>
            <w:r>
              <w:rPr>
                <w:rFonts w:hint="eastAsia" w:ascii="宋体" w:hAnsi="宋体" w:cs="宋体"/>
                <w:color w:val="000000"/>
                <w:szCs w:val="21"/>
              </w:rPr>
              <w:t>(包括对QMS关键工序(过程)、特殊过程控制;评价组织对过程实施控制情况/)</w:t>
            </w:r>
          </w:p>
          <w:p>
            <w:pPr>
              <w:spacing w:line="360" w:lineRule="auto"/>
              <w:rPr>
                <w:rFonts w:hint="default"/>
                <w:b/>
                <w:color w:val="000000" w:themeColor="text1"/>
                <w:sz w:val="20"/>
                <w:szCs w:val="20"/>
                <w:lang w:val="en-US"/>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w:t>
            </w:r>
            <w:r>
              <w:rPr>
                <w:rFonts w:hint="eastAsia" w:ascii="Times New Roman" w:hAnsi="Times New Roman" w:cs="Times New Roman"/>
                <w:sz w:val="20"/>
              </w:rPr>
              <w:t xml:space="preserve">量管理基本受控。  </w:t>
            </w:r>
            <w:r>
              <w:rPr>
                <w:rFonts w:hint="eastAsia" w:ascii="Times New Roman" w:hAnsi="Times New Roman" w:cs="Times New Roman"/>
                <w:sz w:val="20"/>
                <w:lang w:val="en-US" w:eastAsia="zh-CN"/>
              </w:rPr>
              <w:t>企业产品单一，客户固定，无关键工序，特殊过程主要是销售服务进行了确认，</w:t>
            </w:r>
            <w:r>
              <w:rPr>
                <w:rFonts w:hint="eastAsia" w:ascii="Times New Roman" w:hAnsi="Times New Roman" w:cs="Times New Roman"/>
                <w:sz w:val="20"/>
              </w:rPr>
              <w:t>能力</w:t>
            </w:r>
            <w:r>
              <w:rPr>
                <w:rFonts w:hint="eastAsia" w:ascii="Times New Roman" w:hAnsi="Times New Roman" w:cs="Times New Roman"/>
                <w:sz w:val="20"/>
                <w:lang w:val="en-US" w:eastAsia="zh-CN"/>
              </w:rPr>
              <w:t>满足</w:t>
            </w:r>
            <w:r>
              <w:rPr>
                <w:rFonts w:hint="eastAsia" w:ascii="Times New Roman" w:hAnsi="Times New Roman" w:cs="Times New Roman"/>
                <w:sz w:val="20"/>
              </w:rPr>
              <w:t>要求。设计开发为需确认的过程，但是企业未能提供对设计开发过程进行确认的证据</w:t>
            </w:r>
            <w:r>
              <w:rPr>
                <w:rFonts w:hint="eastAsia" w:ascii="Times New Roman" w:hAnsi="Times New Roman" w:cs="Times New Roman"/>
                <w:sz w:val="20"/>
                <w:lang w:eastAsia="zh-CN"/>
              </w:rPr>
              <w:t>，</w:t>
            </w:r>
            <w:r>
              <w:rPr>
                <w:rFonts w:hint="eastAsia" w:ascii="Times New Roman" w:hAnsi="Times New Roman" w:cs="Times New Roman"/>
                <w:sz w:val="20"/>
                <w:lang w:val="en-US" w:eastAsia="zh-CN"/>
              </w:rPr>
              <w:t>已开具不符合。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60" w:lineRule="auto"/>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w:t>
            </w:r>
            <w:r>
              <w:rPr>
                <w:rFonts w:hint="eastAsia" w:ascii="宋体" w:hAnsi="宋体" w:cs="宋体"/>
                <w:color w:val="000000"/>
                <w:szCs w:val="21"/>
                <w:lang w:val="en-US" w:eastAsia="zh-CN"/>
              </w:rPr>
              <w:t>货</w:t>
            </w:r>
            <w:r>
              <w:rPr>
                <w:rFonts w:hint="eastAsia" w:ascii="宋体" w:hAnsi="宋体" w:cs="宋体"/>
                <w:color w:val="000000"/>
                <w:szCs w:val="21"/>
              </w:rPr>
              <w:t>前予以实现，范围包括：</w:t>
            </w:r>
            <w:r>
              <w:rPr>
                <w:rFonts w:hint="eastAsia" w:ascii="宋体" w:hAnsi="宋体" w:cs="宋体"/>
                <w:color w:val="000000"/>
                <w:szCs w:val="21"/>
                <w:lang w:val="en-US" w:eastAsia="zh-CN"/>
              </w:rPr>
              <w:t>采购品验收、</w:t>
            </w:r>
            <w:r>
              <w:rPr>
                <w:rFonts w:hint="eastAsia" w:ascii="宋体" w:hAnsi="宋体" w:cs="宋体"/>
                <w:color w:val="000000"/>
                <w:szCs w:val="21"/>
              </w:rPr>
              <w:t>过程、最终产品。以此保证持续向顾客稳定提供稳定合格的产品。</w:t>
            </w:r>
          </w:p>
          <w:p>
            <w:pPr>
              <w:spacing w:line="360" w:lineRule="auto"/>
              <w:rPr>
                <w:b w:val="0"/>
                <w:bCs/>
                <w:color w:val="000000" w:themeColor="text1"/>
                <w:sz w:val="20"/>
                <w:szCs w:val="20"/>
              </w:rPr>
            </w:pPr>
            <w:r>
              <w:rPr>
                <w:rFonts w:hint="eastAsia"/>
                <w:b w:val="0"/>
                <w:bCs/>
                <w:color w:val="000000" w:themeColor="text1"/>
                <w:sz w:val="20"/>
                <w:szCs w:val="20"/>
              </w:rPr>
              <w:t>(应说明相关证据)：检验标准、检验记录等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60" w:lineRule="auto"/>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60" w:lineRule="auto"/>
              <w:ind w:firstLine="201" w:firstLineChars="100"/>
              <w:rPr>
                <w:b/>
                <w:color w:val="000000" w:themeColor="text1"/>
                <w:sz w:val="20"/>
                <w:szCs w:val="20"/>
              </w:rPr>
            </w:pPr>
            <w:r>
              <w:rPr>
                <w:rFonts w:hint="eastAsia"/>
                <w:b/>
                <w:color w:val="000000" w:themeColor="text1"/>
                <w:sz w:val="20"/>
                <w:szCs w:val="20"/>
              </w:rPr>
              <w:t>无</w:t>
            </w:r>
          </w:p>
          <w:p>
            <w:pPr>
              <w:spacing w:line="360" w:lineRule="auto"/>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60" w:lineRule="auto"/>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360" w:lineRule="auto"/>
              <w:rPr>
                <w:b/>
                <w:color w:val="000000" w:themeColor="text1"/>
                <w:sz w:val="20"/>
                <w:szCs w:val="20"/>
              </w:rPr>
            </w:pPr>
            <w:r>
              <w:rPr>
                <w:rFonts w:hint="eastAsia" w:ascii="宋体" w:hAnsi="宋体" w:cs="宋体"/>
                <w:color w:val="000000"/>
                <w:szCs w:val="21"/>
                <w:lang w:val="en-US" w:eastAsia="zh-CN"/>
              </w:rPr>
              <w:t xml:space="preserve">    </w:t>
            </w:r>
            <w:r>
              <w:rPr>
                <w:rFonts w:hint="eastAsia" w:ascii="宋体" w:hAnsi="宋体" w:cs="宋体"/>
                <w:color w:val="000000"/>
                <w:szCs w:val="21"/>
              </w:rPr>
              <w:t>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60" w:lineRule="auto"/>
              <w:rPr>
                <w:b/>
                <w:color w:val="000000" w:themeColor="text1"/>
                <w:sz w:val="20"/>
                <w:szCs w:val="20"/>
              </w:rPr>
            </w:pPr>
            <w:r>
              <w:rPr>
                <w:rFonts w:hint="eastAsia"/>
                <w:b/>
                <w:color w:val="000000" w:themeColor="text1"/>
                <w:sz w:val="20"/>
                <w:szCs w:val="20"/>
              </w:rPr>
              <w:t>7. EMS组织对重要环境因素实施控制的结果</w:t>
            </w:r>
          </w:p>
          <w:p>
            <w:pPr>
              <w:spacing w:line="360" w:lineRule="auto"/>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360" w:lineRule="auto"/>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60" w:lineRule="auto"/>
              <w:rPr>
                <w:b/>
                <w:color w:val="000000" w:themeColor="text1"/>
                <w:sz w:val="20"/>
                <w:szCs w:val="20"/>
              </w:rPr>
            </w:pPr>
            <w:r>
              <w:rPr>
                <w:rFonts w:hint="eastAsia"/>
                <w:b/>
                <w:color w:val="000000" w:themeColor="text1"/>
                <w:sz w:val="20"/>
                <w:szCs w:val="20"/>
              </w:rPr>
              <w:t>8. OHSMS组织对不可接受风险实施控制的结果</w:t>
            </w:r>
          </w:p>
          <w:p>
            <w:pPr>
              <w:spacing w:line="360" w:lineRule="auto"/>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60" w:lineRule="auto"/>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360" w:lineRule="auto"/>
              <w:rPr>
                <w:b/>
                <w:color w:val="000000" w:themeColor="text1"/>
                <w:spacing w:val="-4"/>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60" w:lineRule="auto"/>
              <w:rPr>
                <w:b/>
                <w:color w:val="000000" w:themeColor="text1"/>
                <w:sz w:val="20"/>
                <w:szCs w:val="20"/>
              </w:rPr>
            </w:pPr>
            <w:r>
              <w:rPr>
                <w:rFonts w:hint="eastAsia"/>
                <w:b/>
                <w:color w:val="000000" w:themeColor="text1"/>
                <w:sz w:val="20"/>
                <w:szCs w:val="20"/>
              </w:rPr>
              <w:t xml:space="preserve">10. 对特种设备的维护，检定; </w:t>
            </w:r>
          </w:p>
          <w:p>
            <w:pPr>
              <w:spacing w:line="360" w:lineRule="auto"/>
              <w:rPr>
                <w:b/>
                <w:color w:val="000000" w:themeColor="text1"/>
                <w:sz w:val="20"/>
                <w:szCs w:val="20"/>
              </w:rPr>
            </w:pPr>
            <w:r>
              <w:rPr>
                <w:rFonts w:hint="eastAsia" w:ascii="宋体" w:hAnsi="宋体" w:cs="宋体"/>
                <w:color w:val="000000" w:themeColor="text1"/>
                <w:szCs w:val="21"/>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60" w:lineRule="auto"/>
              <w:rPr>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360" w:lineRule="auto"/>
              <w:rPr>
                <w:b/>
                <w:color w:val="000000" w:themeColor="text1"/>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8"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360" w:lineRule="auto"/>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360" w:lineRule="auto"/>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-1</w:t>
            </w:r>
            <w:r>
              <w:rPr>
                <w:rFonts w:hint="eastAsia" w:ascii="宋体" w:hAnsi="宋体" w:cs="宋体"/>
                <w:color w:val="000000"/>
                <w:szCs w:val="21"/>
                <w:lang w:val="en-US" w:eastAsia="zh-CN"/>
              </w:rPr>
              <w:t>0</w:t>
            </w:r>
            <w:r>
              <w:rPr>
                <w:rFonts w:hint="eastAsia" w:ascii="宋体" w:hAnsi="宋体" w:cs="宋体"/>
                <w:color w:val="000000"/>
                <w:szCs w:val="21"/>
              </w:rPr>
              <w:t>月目标的测量，总</w:t>
            </w:r>
            <w:r>
              <w:rPr>
                <w:rFonts w:hint="eastAsia" w:ascii="宋体" w:hAnsi="宋体" w:cs="宋体"/>
                <w:color w:val="000000" w:themeColor="text1"/>
                <w:szCs w:val="21"/>
              </w:rPr>
              <w:t>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60" w:lineRule="auto"/>
              <w:ind w:left="100" w:hanging="100" w:hangingChars="50"/>
              <w:jc w:val="left"/>
              <w:rPr>
                <w:b/>
                <w:color w:val="000000" w:themeColor="text1"/>
                <w:sz w:val="20"/>
                <w:szCs w:val="20"/>
              </w:rPr>
            </w:pPr>
            <w:r>
              <w:rPr>
                <w:rFonts w:hint="eastAsia"/>
                <w:b/>
                <w:color w:val="000000" w:themeColor="text1"/>
                <w:sz w:val="20"/>
                <w:szCs w:val="20"/>
              </w:rPr>
              <w:t>2.顾客满意</w:t>
            </w:r>
          </w:p>
          <w:p>
            <w:pPr>
              <w:spacing w:line="360" w:lineRule="auto"/>
              <w:ind w:left="105" w:hanging="105" w:hangingChars="50"/>
              <w:jc w:val="left"/>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公司建立了顾客满意度监视和测量控制程序，对顾客投诉处理及顾客满意度评价做了明确的规定，并按规定对顾客反馈及时处理。近年来未发生重大顾客投诉和产品质量事故。顾客满意度调查按规定实施，20</w:t>
            </w:r>
            <w:r>
              <w:rPr>
                <w:rFonts w:hint="eastAsia" w:ascii="宋体" w:hAnsi="宋体" w:cs="宋体"/>
                <w:color w:val="000000"/>
                <w:szCs w:val="21"/>
                <w:lang w:val="en-US" w:eastAsia="zh-CN"/>
              </w:rPr>
              <w:t>20</w:t>
            </w:r>
            <w:r>
              <w:rPr>
                <w:rFonts w:hint="eastAsia" w:ascii="宋体" w:hAnsi="宋体" w:cs="宋体"/>
                <w:color w:val="000000"/>
                <w:szCs w:val="21"/>
              </w:rPr>
              <w:t>年1</w:t>
            </w:r>
            <w:r>
              <w:rPr>
                <w:rFonts w:hint="eastAsia" w:ascii="宋体" w:hAnsi="宋体" w:cs="宋体"/>
                <w:color w:val="000000"/>
                <w:szCs w:val="21"/>
                <w:lang w:val="en-US" w:eastAsia="zh-CN"/>
              </w:rPr>
              <w:t>0</w:t>
            </w:r>
            <w:r>
              <w:rPr>
                <w:rFonts w:hint="eastAsia" w:ascii="宋体" w:hAnsi="宋体" w:cs="宋体"/>
                <w:color w:val="000000"/>
                <w:szCs w:val="21"/>
              </w:rPr>
              <w:t>月实施，满意度</w:t>
            </w:r>
            <w:r>
              <w:rPr>
                <w:rFonts w:hint="eastAsia" w:ascii="宋体" w:hAnsi="宋体" w:cs="宋体"/>
                <w:color w:val="000000" w:themeColor="text1"/>
                <w:szCs w:val="21"/>
              </w:rPr>
              <w:t>评价达98%，总体实现了顾客满意度的质量目标要求。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360" w:lineRule="auto"/>
              <w:rPr>
                <w:b/>
                <w:color w:val="auto"/>
                <w:spacing w:val="-8"/>
                <w:sz w:val="20"/>
                <w:szCs w:val="20"/>
              </w:rPr>
            </w:pPr>
            <w:r>
              <w:rPr>
                <w:rFonts w:hint="eastAsia"/>
                <w:b/>
                <w:color w:val="auto"/>
                <w:sz w:val="20"/>
                <w:szCs w:val="20"/>
              </w:rPr>
              <w:t>3. 内审（包括内审策划审核方案中考虑拟审核的过程和区域的状况和重要性）</w:t>
            </w:r>
          </w:p>
          <w:p>
            <w:pPr>
              <w:spacing w:line="360" w:lineRule="auto"/>
              <w:ind w:firstLine="420" w:firstLineChars="200"/>
              <w:rPr>
                <w:b/>
                <w:color w:val="auto"/>
                <w:sz w:val="20"/>
                <w:szCs w:val="20"/>
              </w:rPr>
            </w:pPr>
            <w:r>
              <w:rPr>
                <w:rFonts w:hint="eastAsia" w:ascii="宋体" w:hAnsi="宋体" w:cs="宋体"/>
                <w:color w:val="auto"/>
                <w:szCs w:val="21"/>
              </w:rPr>
              <w:t>建立有《内部审核控制程序》，规定了内审频次一年一次，内审时间：</w:t>
            </w:r>
            <w:r>
              <w:rPr>
                <w:rFonts w:hint="eastAsia"/>
                <w:color w:val="auto"/>
                <w:szCs w:val="21"/>
              </w:rPr>
              <w:t>20</w:t>
            </w:r>
            <w:r>
              <w:rPr>
                <w:rFonts w:hint="eastAsia"/>
                <w:color w:val="auto"/>
                <w:szCs w:val="21"/>
                <w:lang w:val="en-US" w:eastAsia="zh-CN"/>
              </w:rPr>
              <w:t>20</w:t>
            </w:r>
            <w:r>
              <w:rPr>
                <w:rFonts w:hint="eastAsia"/>
                <w:color w:val="auto"/>
                <w:szCs w:val="21"/>
              </w:rPr>
              <w:t>年1</w:t>
            </w:r>
            <w:r>
              <w:rPr>
                <w:rFonts w:hint="eastAsia"/>
                <w:color w:val="auto"/>
                <w:szCs w:val="21"/>
                <w:lang w:val="en-US" w:eastAsia="zh-CN"/>
              </w:rPr>
              <w:t>1</w:t>
            </w:r>
            <w:r>
              <w:rPr>
                <w:rFonts w:hint="eastAsia"/>
                <w:color w:val="auto"/>
                <w:szCs w:val="21"/>
              </w:rPr>
              <w:t>月</w:t>
            </w:r>
            <w:r>
              <w:rPr>
                <w:rFonts w:hint="eastAsia"/>
                <w:color w:val="auto"/>
                <w:szCs w:val="21"/>
                <w:lang w:val="en-US" w:eastAsia="zh-CN"/>
              </w:rPr>
              <w:t>11</w:t>
            </w:r>
            <w:r>
              <w:rPr>
                <w:rFonts w:hint="eastAsia"/>
                <w:color w:val="auto"/>
                <w:szCs w:val="21"/>
              </w:rPr>
              <w:t>日-1</w:t>
            </w:r>
            <w:r>
              <w:rPr>
                <w:rFonts w:hint="eastAsia"/>
                <w:color w:val="auto"/>
                <w:szCs w:val="21"/>
                <w:lang w:val="en-US" w:eastAsia="zh-CN"/>
              </w:rPr>
              <w:t>2</w:t>
            </w:r>
            <w:r>
              <w:rPr>
                <w:rFonts w:hint="eastAsia"/>
                <w:color w:val="auto"/>
                <w:szCs w:val="21"/>
              </w:rPr>
              <w:t>日</w:t>
            </w:r>
            <w:r>
              <w:rPr>
                <w:rFonts w:hint="eastAsia" w:ascii="宋体" w:hAnsi="宋体" w:cs="宋体"/>
                <w:color w:val="auto"/>
                <w:szCs w:val="21"/>
              </w:rPr>
              <w:t>，拟定了审核计划，明确了内审范围，内审人员经</w:t>
            </w:r>
            <w:r>
              <w:rPr>
                <w:rFonts w:hint="eastAsia"/>
                <w:color w:val="auto"/>
                <w:szCs w:val="21"/>
              </w:rPr>
              <w:t>培训合格上岗，能力满足要求，未出现审核本部门情况，内审不符合项</w:t>
            </w:r>
            <w:r>
              <w:rPr>
                <w:rFonts w:hint="eastAsia"/>
                <w:color w:val="auto"/>
                <w:szCs w:val="21"/>
                <w:lang w:val="en-US" w:eastAsia="zh-CN"/>
              </w:rPr>
              <w:t>1</w:t>
            </w:r>
            <w:r>
              <w:rPr>
                <w:rFonts w:hint="eastAsia"/>
                <w:color w:val="auto"/>
                <w:szCs w:val="21"/>
              </w:rPr>
              <w:t>项，涉及</w:t>
            </w:r>
            <w:r>
              <w:rPr>
                <w:rFonts w:hint="eastAsia"/>
                <w:color w:val="auto"/>
                <w:szCs w:val="21"/>
                <w:lang w:val="en-US" w:eastAsia="zh-CN"/>
              </w:rPr>
              <w:t>办公室7.1.3</w:t>
            </w:r>
            <w:r>
              <w:rPr>
                <w:rFonts w:hint="eastAsia"/>
                <w:color w:val="auto"/>
                <w:szCs w:val="21"/>
              </w:rPr>
              <w:t>条款，不符合事实描述分别是“</w:t>
            </w:r>
            <w:r>
              <w:rPr>
                <w:rFonts w:hint="eastAsia" w:ascii="宋体" w:hAnsi="宋体" w:cs="宋体"/>
                <w:color w:val="auto"/>
                <w:szCs w:val="21"/>
              </w:rPr>
              <w:t>检查发现</w:t>
            </w:r>
            <w:r>
              <w:rPr>
                <w:rFonts w:hint="eastAsia"/>
                <w:color w:val="auto"/>
              </w:rPr>
              <w:t>《建筑装饰装修工程质量验收标准》</w:t>
            </w:r>
            <w:r>
              <w:rPr>
                <w:rFonts w:hint="eastAsia" w:ascii="宋体" w:hAnsi="宋体" w:cs="宋体"/>
                <w:color w:val="auto"/>
                <w:szCs w:val="21"/>
              </w:rPr>
              <w:t>不是最新版本</w:t>
            </w:r>
            <w:r>
              <w:rPr>
                <w:rFonts w:hint="eastAsia"/>
                <w:color w:val="auto"/>
                <w:szCs w:val="21"/>
              </w:rPr>
              <w:t>”，针对该</w:t>
            </w:r>
            <w:r>
              <w:rPr>
                <w:rFonts w:hint="eastAsia"/>
                <w:color w:val="auto"/>
                <w:szCs w:val="21"/>
                <w:lang w:val="en-US" w:eastAsia="zh-CN"/>
              </w:rPr>
              <w:t>1</w:t>
            </w:r>
            <w:r>
              <w:rPr>
                <w:rFonts w:hint="eastAsia"/>
                <w:color w:val="auto"/>
                <w:szCs w:val="21"/>
              </w:rPr>
              <w:t>个不符合项，已及时采取纠正措施后，经内审员验证关闭。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360" w:lineRule="auto"/>
              <w:rPr>
                <w:b/>
                <w:color w:val="auto"/>
                <w:sz w:val="20"/>
                <w:szCs w:val="20"/>
              </w:rPr>
            </w:pPr>
            <w:r>
              <w:rPr>
                <w:rFonts w:hint="eastAsia"/>
                <w:b/>
                <w:color w:val="auto"/>
                <w:sz w:val="20"/>
                <w:szCs w:val="20"/>
              </w:rPr>
              <w:t>4.管理评审（管理评审体系变更需求，纠正和预防措施、体系有效性等）</w:t>
            </w:r>
          </w:p>
          <w:p>
            <w:pPr>
              <w:spacing w:line="360" w:lineRule="auto"/>
              <w:ind w:firstLine="420" w:firstLineChars="200"/>
              <w:rPr>
                <w:b/>
                <w:color w:val="auto"/>
                <w:sz w:val="20"/>
                <w:szCs w:val="20"/>
              </w:rPr>
            </w:pPr>
            <w:r>
              <w:rPr>
                <w:rFonts w:hint="eastAsia" w:ascii="宋体" w:hAnsi="宋体" w:cs="宋体"/>
                <w:color w:val="auto"/>
                <w:szCs w:val="21"/>
              </w:rPr>
              <w:t>管理评审频次为一年一次、本次管理评审于</w:t>
            </w:r>
            <w:r>
              <w:rPr>
                <w:rFonts w:hint="eastAsia" w:ascii="宋体" w:hAnsi="宋体"/>
                <w:color w:val="auto"/>
                <w:kern w:val="0"/>
                <w:szCs w:val="21"/>
              </w:rPr>
              <w:t>20</w:t>
            </w:r>
            <w:r>
              <w:rPr>
                <w:rFonts w:hint="eastAsia" w:ascii="宋体" w:hAnsi="宋体"/>
                <w:color w:val="auto"/>
                <w:kern w:val="0"/>
                <w:szCs w:val="21"/>
                <w:lang w:val="en-US" w:eastAsia="zh-CN"/>
              </w:rPr>
              <w:t>20</w:t>
            </w:r>
            <w:r>
              <w:rPr>
                <w:rFonts w:hint="eastAsia" w:ascii="宋体" w:hAnsi="宋体"/>
                <w:color w:val="auto"/>
                <w:kern w:val="0"/>
                <w:szCs w:val="21"/>
              </w:rPr>
              <w:t>年</w:t>
            </w:r>
            <w:r>
              <w:rPr>
                <w:rFonts w:hint="eastAsia" w:ascii="宋体" w:hAnsi="宋体"/>
                <w:color w:val="auto"/>
                <w:kern w:val="0"/>
                <w:szCs w:val="21"/>
                <w:lang w:val="en-US" w:eastAsia="zh-CN"/>
              </w:rPr>
              <w:t>11</w:t>
            </w:r>
            <w:r>
              <w:rPr>
                <w:rFonts w:hint="eastAsia" w:ascii="宋体" w:hAnsi="宋体"/>
                <w:color w:val="auto"/>
                <w:kern w:val="0"/>
                <w:szCs w:val="21"/>
              </w:rPr>
              <w:t>月</w:t>
            </w:r>
            <w:r>
              <w:rPr>
                <w:rFonts w:hint="eastAsia" w:ascii="宋体" w:hAnsi="宋体"/>
                <w:color w:val="auto"/>
                <w:kern w:val="0"/>
                <w:szCs w:val="21"/>
                <w:lang w:val="en-US" w:eastAsia="zh-CN"/>
              </w:rPr>
              <w:t>24</w:t>
            </w:r>
            <w:r>
              <w:rPr>
                <w:rFonts w:hint="eastAsia" w:ascii="宋体" w:hAnsi="宋体"/>
                <w:color w:val="auto"/>
                <w:kern w:val="0"/>
                <w:szCs w:val="21"/>
              </w:rPr>
              <w:t>日</w:t>
            </w:r>
            <w:r>
              <w:rPr>
                <w:rFonts w:hint="eastAsia" w:ascii="宋体" w:hAnsi="宋体" w:cs="宋体"/>
                <w:color w:val="auto"/>
                <w:szCs w:val="21"/>
              </w:rPr>
              <w:t>由总经理主持完成、提供主要输入材料有各部门总结，输入信息基本充分和满足要求。输出见“管理评审报告”, 做出了管理体系基本适宜、充分和有效的评审结论。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60" w:lineRule="auto"/>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360" w:lineRule="auto"/>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60" w:lineRule="auto"/>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360" w:lineRule="auto"/>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60" w:lineRule="auto"/>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60" w:lineRule="auto"/>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60" w:lineRule="auto"/>
              <w:rPr>
                <w:b/>
                <w:color w:val="000000" w:themeColor="text1"/>
                <w:sz w:val="20"/>
                <w:szCs w:val="20"/>
              </w:rPr>
            </w:pPr>
            <w:r>
              <w:rPr>
                <w:rFonts w:hint="eastAsia"/>
                <w:b/>
                <w:color w:val="000000" w:themeColor="text1"/>
                <w:sz w:val="20"/>
                <w:szCs w:val="20"/>
              </w:rPr>
              <w:t>8.OHSMS国家/地方职业健康安全部门监督检查情况及措施</w:t>
            </w:r>
          </w:p>
          <w:p>
            <w:pPr>
              <w:spacing w:line="360" w:lineRule="auto"/>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360" w:lineRule="auto"/>
              <w:rPr>
                <w:b/>
                <w:color w:val="000000" w:themeColor="text1"/>
                <w:sz w:val="20"/>
                <w:szCs w:val="20"/>
              </w:rPr>
            </w:pPr>
            <w:r>
              <w:rPr>
                <w:rFonts w:hint="eastAsia"/>
                <w:b/>
                <w:color w:val="000000" w:themeColor="text1"/>
                <w:sz w:val="20"/>
                <w:szCs w:val="20"/>
              </w:rPr>
              <w:t>9. 其他能够标明组织绩效、信誉的证据/信息：</w:t>
            </w:r>
          </w:p>
          <w:p>
            <w:pPr>
              <w:widowControl/>
              <w:spacing w:line="360" w:lineRule="auto"/>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360" w:lineRule="auto"/>
              <w:rPr>
                <w:rFonts w:hint="eastAsia"/>
                <w:b/>
                <w:color w:val="000000" w:themeColor="text1"/>
                <w:sz w:val="20"/>
                <w:szCs w:val="20"/>
              </w:rPr>
            </w:pPr>
            <w:r>
              <w:rPr>
                <w:rFonts w:hint="eastAsia"/>
                <w:b/>
                <w:color w:val="000000" w:themeColor="text1"/>
                <w:sz w:val="20"/>
                <w:szCs w:val="20"/>
              </w:rPr>
              <w:t>1 纠正/预防措施的实施及效果;</w:t>
            </w:r>
          </w:p>
          <w:p>
            <w:pPr>
              <w:spacing w:line="360" w:lineRule="auto"/>
              <w:ind w:firstLine="420" w:firstLineChars="200"/>
              <w:rPr>
                <w:b/>
                <w:color w:val="000000" w:themeColor="text1"/>
                <w:sz w:val="20"/>
                <w:szCs w:val="20"/>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360" w:lineRule="auto"/>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360" w:lineRule="auto"/>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360" w:lineRule="auto"/>
              <w:rPr>
                <w:b/>
                <w:color w:val="000000" w:themeColor="text1"/>
                <w:sz w:val="20"/>
                <w:szCs w:val="20"/>
              </w:rPr>
            </w:pPr>
            <w:r>
              <w:rPr>
                <w:rFonts w:hint="eastAsia"/>
                <w:b/>
                <w:color w:val="000000" w:themeColor="text1"/>
                <w:sz w:val="20"/>
                <w:szCs w:val="20"/>
              </w:rPr>
              <w:t>3. 一阶段提出问题的整改情况?</w:t>
            </w:r>
          </w:p>
          <w:p>
            <w:pPr>
              <w:spacing w:line="360" w:lineRule="auto"/>
              <w:rPr>
                <w:rFonts w:hint="eastAsia"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360" w:lineRule="auto"/>
              <w:rPr>
                <w:b/>
                <w:color w:val="000000" w:themeColor="text1"/>
                <w:sz w:val="20"/>
                <w:szCs w:val="20"/>
              </w:rPr>
            </w:pPr>
            <w:r>
              <w:rPr>
                <w:rFonts w:hint="eastAsia"/>
                <w:b/>
                <w:color w:val="000000" w:themeColor="text1"/>
                <w:sz w:val="20"/>
                <w:szCs w:val="20"/>
              </w:rPr>
              <w:t>4.创新情况</w:t>
            </w:r>
          </w:p>
          <w:p>
            <w:pPr>
              <w:spacing w:line="360" w:lineRule="auto"/>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360" w:lineRule="auto"/>
              <w:rPr>
                <w:b/>
                <w:color w:val="000000" w:themeColor="text1"/>
                <w:szCs w:val="21"/>
              </w:rPr>
            </w:pPr>
            <w:r>
              <w:rPr>
                <w:rFonts w:hint="eastAsia"/>
                <w:b/>
                <w:color w:val="000000" w:themeColor="text1"/>
                <w:szCs w:val="21"/>
              </w:rPr>
              <w:t>5. 上次不符合的整改情况（再认证填写）</w:t>
            </w:r>
          </w:p>
          <w:p>
            <w:pPr>
              <w:spacing w:line="360" w:lineRule="auto"/>
              <w:rPr>
                <w:rFonts w:hint="default" w:eastAsia="宋体"/>
                <w:b/>
                <w:color w:val="000000" w:themeColor="text1"/>
                <w:szCs w:val="21"/>
                <w:lang w:val="en-US" w:eastAsia="zh-CN"/>
              </w:rPr>
            </w:pPr>
            <w:r>
              <w:rPr>
                <w:rFonts w:hint="eastAsia"/>
                <w:b/>
                <w:color w:val="000000" w:themeColor="text1"/>
                <w:szCs w:val="21"/>
                <w:lang w:val="en-US" w:eastAsia="zh-CN"/>
              </w:rPr>
              <w:t>远程审核时开出的不符合，已整改完成，问题已关闭</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auto"/>
        </w:rPr>
      </w:pPr>
      <w:r>
        <w:rPr>
          <w:rFonts w:hint="eastAsia"/>
          <w:b/>
          <w:color w:val="auto"/>
        </w:rPr>
        <w:t>1. 本次</w:t>
      </w:r>
      <w:r>
        <w:rPr>
          <w:rFonts w:hint="eastAsia"/>
          <w:b/>
          <w:color w:val="auto"/>
          <w:lang w:val="en-US" w:eastAsia="zh-CN"/>
        </w:rPr>
        <w:t>补充</w:t>
      </w:r>
      <w:r>
        <w:rPr>
          <w:rFonts w:hint="eastAsia"/>
          <w:b/>
          <w:color w:val="auto"/>
        </w:rPr>
        <w:t>审核共开具不符合项报告</w:t>
      </w:r>
      <w:r>
        <w:rPr>
          <w:rFonts w:hint="eastAsia"/>
          <w:b/>
          <w:color w:val="auto"/>
          <w:lang w:val="en-US" w:eastAsia="zh-CN"/>
        </w:rPr>
        <w:t>0</w:t>
      </w:r>
      <w:r>
        <w:rPr>
          <w:rFonts w:hint="eastAsia"/>
          <w:b/>
          <w:color w:val="auto"/>
        </w:rPr>
        <w:t>项；其中</w:t>
      </w:r>
      <w:r>
        <w:rPr>
          <w:b/>
          <w:color w:val="auto"/>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auto"/>
        </w:rPr>
        <w:t>严重不符合0项，一般不符合</w:t>
      </w:r>
      <w:r>
        <w:rPr>
          <w:rFonts w:hint="eastAsia"/>
          <w:b/>
          <w:color w:val="auto"/>
          <w:lang w:val="en-US" w:eastAsia="zh-CN"/>
        </w:rPr>
        <w:t>0</w:t>
      </w:r>
      <w:r>
        <w:rPr>
          <w:rFonts w:hint="eastAsia"/>
          <w:b/>
          <w:color w:val="auto"/>
        </w:rPr>
        <w:t>项，观察项0项。（Q/J/E/S分开填写）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tabs>
          <w:tab w:val="left" w:pos="215"/>
          <w:tab w:val="left" w:pos="430"/>
        </w:tabs>
        <w:spacing w:line="360" w:lineRule="auto"/>
        <w:ind w:left="-190" w:leftChars="-472" w:hanging="801" w:hangingChars="380"/>
        <w:rPr>
          <w:rFonts w:ascii="宋体" w:hAnsi="宋体"/>
          <w:b/>
          <w:color w:val="000000" w:themeColor="text1"/>
          <w:szCs w:val="21"/>
        </w:rPr>
      </w:pPr>
      <w:r>
        <w:rPr>
          <w:rFonts w:hint="eastAsia"/>
          <w:b/>
          <w:bCs/>
          <w:color w:val="000000" w:themeColor="text1"/>
          <w:szCs w:val="21"/>
          <w:lang w:eastAsia="zh-CN"/>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37" w:leftChars="-337" w:hanging="571" w:hangingChars="271"/>
        <w:rPr>
          <w:rFonts w:ascii="宋体" w:hAnsi="宋体"/>
          <w:b/>
          <w:color w:val="000000" w:themeColor="text1"/>
          <w:szCs w:val="21"/>
        </w:rPr>
      </w:pPr>
      <w:r>
        <w:rPr>
          <w:rFonts w:hint="eastAsia"/>
          <w:b/>
          <w:bCs/>
          <w:color w:val="000000" w:themeColor="text1"/>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10080" w:type="dxa"/>
          </w:tcPr>
          <w:p>
            <w:pPr>
              <w:spacing w:line="360" w:lineRule="auto"/>
              <w:rPr>
                <w:b/>
                <w:color w:val="000000"/>
                <w:sz w:val="22"/>
                <w:szCs w:val="22"/>
              </w:rPr>
            </w:pPr>
            <w:r>
              <w:rPr>
                <w:rFonts w:hint="eastAsia"/>
                <w:b/>
                <w:color w:val="000000" w:themeColor="text1"/>
                <w:spacing w:val="-10"/>
                <w:sz w:val="22"/>
                <w:szCs w:val="22"/>
              </w:rPr>
              <w:t xml:space="preserve">1. </w:t>
            </w:r>
            <w:r>
              <w:rPr>
                <w:rFonts w:hint="eastAsia"/>
                <w:b/>
                <w:bCs/>
                <w:color w:val="000000" w:themeColor="text1"/>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360" w:lineRule="auto"/>
              <w:ind w:firstLine="420" w:firstLineChars="200"/>
              <w:rPr>
                <w:rFonts w:hint="eastAsia"/>
                <w:b/>
                <w:color w:val="auto"/>
                <w:spacing w:val="-10"/>
                <w:szCs w:val="21"/>
                <w:lang w:eastAsia="zh-CN"/>
              </w:rPr>
            </w:pPr>
            <w:r>
              <w:rPr>
                <w:rFonts w:hint="eastAsia" w:ascii="宋体" w:hAnsi="宋体" w:cs="宋体"/>
                <w:bCs/>
                <w:szCs w:val="21"/>
              </w:rPr>
              <w:t>组织建立并实施的管理体系基本符合标准要求，可能存在的重要风险可以得到有效控制，没有出现顾客投诉事件发生，体系运行基本有效，组织初步建立了自我完善和自我改进机制。</w:t>
            </w:r>
            <w:r>
              <w:rPr>
                <w:rFonts w:hint="eastAsia" w:ascii="宋体" w:hAnsi="宋体" w:cs="宋体"/>
                <w:bCs/>
                <w:color w:val="auto"/>
                <w:szCs w:val="21"/>
              </w:rPr>
              <w:t>同意推荐认证注册。</w:t>
            </w:r>
          </w:p>
          <w:p>
            <w:pPr>
              <w:spacing w:line="360" w:lineRule="auto"/>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tabs>
                <w:tab w:val="left" w:pos="1583"/>
              </w:tabs>
              <w:spacing w:line="240" w:lineRule="exact"/>
              <w:rPr>
                <w:rFonts w:hint="eastAsia" w:eastAsia="宋体"/>
                <w:b/>
                <w:color w:val="000000" w:themeColor="text1"/>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bCs/>
                <w:color w:val="000000" w:themeColor="text1"/>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7"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bCs/>
                <w:color w:val="000000" w:themeColor="text1"/>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7"/>
        <w:spacing w:line="48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宋体" w:hAnsi="宋体" w:eastAsia="宋体" w:cs="宋体"/>
          <w:b/>
          <w:bCs/>
          <w:color w:val="000000" w:themeColor="text1"/>
          <w:kern w:val="24"/>
          <w:sz w:val="28"/>
          <w:szCs w:val="28"/>
        </w:rPr>
        <w:t>审核基于对可获得信息的抽样过程的免责声明；</w:t>
      </w:r>
      <w:r>
        <w:rPr>
          <w:rFonts w:hint="eastAsia" w:ascii="宋体" w:hAnsi="宋体" w:eastAsia="宋体" w:cs="宋体"/>
          <w:color w:val="000000" w:themeColor="text1"/>
          <w:kern w:val="24"/>
          <w:sz w:val="28"/>
          <w:szCs w:val="28"/>
        </w:rPr>
        <w:t xml:space="preserve"> </w:t>
      </w:r>
    </w:p>
    <w:p>
      <w:pPr>
        <w:snapToGrid w:val="0"/>
        <w:spacing w:line="48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48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48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numPr>
          <w:ilvl w:val="0"/>
          <w:numId w:val="3"/>
        </w:numPr>
        <w:spacing w:before="156" w:beforeLines="50" w:after="156" w:afterLines="50"/>
        <w:ind w:left="66" w:leftChars="-405" w:hanging="916" w:hangingChars="326"/>
        <w:rPr>
          <w:rFonts w:hint="eastAsia" w:ascii="宋体" w:hAnsi="宋体" w:eastAsia="宋体" w:cs="宋体"/>
          <w:b/>
          <w:color w:val="000000" w:themeColor="text1"/>
          <w:sz w:val="26"/>
          <w:szCs w:val="26"/>
        </w:rPr>
      </w:pPr>
      <w:r>
        <w:rPr>
          <w:rFonts w:hint="eastAsia" w:ascii="宋体" w:hAnsi="宋体" w:eastAsia="宋体" w:cs="宋体"/>
          <w:b/>
          <w:bCs/>
          <w:color w:val="000000" w:themeColor="text1"/>
          <w:kern w:val="24"/>
          <w:sz w:val="28"/>
          <w:szCs w:val="28"/>
        </w:rPr>
        <w:drawing>
          <wp:anchor distT="0" distB="0" distL="114300" distR="114300" simplePos="0" relativeHeight="251662336" behindDoc="0" locked="0" layoutInCell="1" allowOverlap="1">
            <wp:simplePos x="0" y="0"/>
            <wp:positionH relativeFrom="column">
              <wp:posOffset>-976630</wp:posOffset>
            </wp:positionH>
            <wp:positionV relativeFrom="paragraph">
              <wp:posOffset>-873760</wp:posOffset>
            </wp:positionV>
            <wp:extent cx="7171055" cy="10636885"/>
            <wp:effectExtent l="0" t="0" r="4445" b="5715"/>
            <wp:wrapNone/>
            <wp:docPr id="6" name="图片 6" descr="审核报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审核报告"/>
                    <pic:cNvPicPr>
                      <a:picLocks noChangeAspect="1"/>
                    </pic:cNvPicPr>
                  </pic:nvPicPr>
                  <pic:blipFill>
                    <a:blip r:embed="rId6"/>
                    <a:stretch>
                      <a:fillRect/>
                    </a:stretch>
                  </pic:blipFill>
                  <pic:spPr>
                    <a:xfrm>
                      <a:off x="0" y="0"/>
                      <a:ext cx="7171055" cy="10636885"/>
                    </a:xfrm>
                    <a:prstGeom prst="rect">
                      <a:avLst/>
                    </a:prstGeom>
                  </pic:spPr>
                </pic:pic>
              </a:graphicData>
            </a:graphic>
          </wp:anchor>
        </w:drawing>
      </w:r>
      <w:r>
        <w:rPr>
          <w:rFonts w:hint="eastAsia" w:ascii="宋体" w:hAnsi="宋体" w:eastAsia="宋体" w:cs="宋体"/>
          <w:b/>
          <w:bCs/>
          <w:color w:val="000000" w:themeColor="text1"/>
          <w:kern w:val="24"/>
          <w:sz w:val="28"/>
          <w:szCs w:val="28"/>
        </w:rPr>
        <w:t>任何影响审核方案的重要事项</w:t>
      </w:r>
      <w:r>
        <w:rPr>
          <w:rFonts w:hint="eastAsia" w:ascii="宋体" w:hAnsi="宋体" w:eastAsia="宋体" w:cs="宋体"/>
          <w:b/>
          <w:color w:val="000000" w:themeColor="text1"/>
          <w:sz w:val="26"/>
          <w:szCs w:val="26"/>
        </w:rPr>
        <w:t>：</w:t>
      </w:r>
      <w:bookmarkStart w:id="8" w:name="_GoBack"/>
      <w:bookmarkEnd w:id="8"/>
    </w:p>
    <w:p>
      <w:pPr>
        <w:snapToGrid w:val="0"/>
        <w:rPr>
          <w:rFonts w:hint="default"/>
          <w:lang w:val="en-US" w:eastAsia="zh-CN"/>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r>
        <w:rPr>
          <w:rFonts w:ascii="宋体" w:hAnsi="宋体"/>
          <w:szCs w:val="21"/>
        </w:rPr>
        <w:drawing>
          <wp:inline distT="0" distB="0" distL="0" distR="0">
            <wp:extent cx="384175" cy="304800"/>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a:srcRect/>
                    <a:stretch>
                      <a:fillRect/>
                    </a:stretch>
                  </pic:blipFill>
                  <pic:spPr>
                    <a:xfrm>
                      <a:off x="0" y="0"/>
                      <a:ext cx="384175" cy="304800"/>
                    </a:xfrm>
                    <a:prstGeom prst="rect">
                      <a:avLst/>
                    </a:prstGeom>
                    <a:noFill/>
                  </pic:spPr>
                </pic:pic>
              </a:graphicData>
            </a:graphic>
          </wp:inline>
        </w:drawing>
      </w:r>
    </w:p>
    <w:p>
      <w:pPr>
        <w:snapToGrid w:val="0"/>
        <w:spacing w:before="156" w:beforeLines="50" w:line="360" w:lineRule="auto"/>
        <w:ind w:firstLine="550" w:firstLineChars="250"/>
        <w:rPr>
          <w:b/>
          <w:color w:val="000000" w:themeColor="text1"/>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2139950</wp:posOffset>
            </wp:positionH>
            <wp:positionV relativeFrom="paragraph">
              <wp:posOffset>78105</wp:posOffset>
            </wp:positionV>
            <wp:extent cx="613410" cy="509270"/>
            <wp:effectExtent l="0" t="0" r="0" b="0"/>
            <wp:wrapNone/>
            <wp:docPr id="4" name="图片 2"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签名-郭力"/>
                    <pic:cNvPicPr>
                      <a:picLocks noChangeAspect="1"/>
                    </pic:cNvPicPr>
                  </pic:nvPicPr>
                  <pic:blipFill>
                    <a:blip r:embed="rId8"/>
                    <a:stretch>
                      <a:fillRect/>
                    </a:stretch>
                  </pic:blipFill>
                  <pic:spPr>
                    <a:xfrm>
                      <a:off x="0" y="0"/>
                      <a:ext cx="613410" cy="509270"/>
                    </a:xfrm>
                    <a:prstGeom prst="rect">
                      <a:avLst/>
                    </a:prstGeom>
                    <a:noFill/>
                    <a:ln>
                      <a:noFill/>
                    </a:ln>
                  </pic:spPr>
                </pic:pic>
              </a:graphicData>
            </a:graphic>
          </wp:anchor>
        </w:drawing>
      </w:r>
    </w:p>
    <w:p>
      <w:pPr>
        <w:snapToGrid w:val="0"/>
        <w:spacing w:after="156" w:afterLines="50" w:line="360" w:lineRule="auto"/>
        <w:ind w:left="191" w:leftChars="91" w:firstLine="454" w:firstLineChars="174"/>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2020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11</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27</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auto"/>
          <w:sz w:val="26"/>
          <w:szCs w:val="26"/>
        </w:rPr>
      </w:pPr>
      <w:r>
        <w:rPr>
          <w:rFonts w:hint="eastAsia"/>
          <w:b/>
          <w:bCs/>
          <w:color w:val="auto"/>
          <w:szCs w:val="21"/>
        </w:rPr>
        <w:t>1.  审核中发现的☑</w:t>
      </w:r>
      <w:r>
        <w:rPr>
          <w:rFonts w:hint="eastAsia"/>
          <w:b/>
          <w:color w:val="auto"/>
          <w:szCs w:val="21"/>
        </w:rPr>
        <w:t xml:space="preserve">QMS(  </w:t>
      </w:r>
      <w:r>
        <w:rPr>
          <w:rFonts w:hint="eastAsia"/>
          <w:b/>
          <w:color w:val="auto"/>
          <w:szCs w:val="21"/>
          <w:lang w:val="en-US" w:eastAsia="zh-CN"/>
        </w:rPr>
        <w:t>0</w:t>
      </w:r>
      <w:r>
        <w:rPr>
          <w:rFonts w:hint="eastAsia"/>
          <w:b/>
          <w:color w:val="auto"/>
          <w:szCs w:val="21"/>
        </w:rPr>
        <w:t xml:space="preserve"> )个一般不符合，( </w:t>
      </w:r>
      <w:r>
        <w:rPr>
          <w:rFonts w:hint="eastAsia"/>
          <w:b/>
          <w:color w:val="auto"/>
          <w:szCs w:val="21"/>
          <w:lang w:val="en-US" w:eastAsia="zh-CN"/>
        </w:rPr>
        <w:t>0</w:t>
      </w:r>
      <w:r>
        <w:rPr>
          <w:rFonts w:hint="eastAsia"/>
          <w:b/>
          <w:color w:val="auto"/>
          <w:szCs w:val="21"/>
        </w:rPr>
        <w:t xml:space="preserve"> )个严重不符合，</w:t>
      </w:r>
      <w:r>
        <w:rPr>
          <w:rFonts w:hint="eastAsia"/>
          <w:b/>
          <w:bCs/>
          <w:color w:val="auto"/>
          <w:szCs w:val="21"/>
          <w:lang w:eastAsia="zh-CN"/>
        </w:rPr>
        <w:t>□</w:t>
      </w:r>
      <w:r>
        <w:rPr>
          <w:rFonts w:hint="eastAsia"/>
          <w:b/>
          <w:color w:val="auto"/>
          <w:szCs w:val="21"/>
        </w:rPr>
        <w:t>验证合格</w:t>
      </w:r>
      <w:r>
        <w:rPr>
          <w:rFonts w:hint="eastAsia"/>
          <w:b/>
          <w:color w:val="auto"/>
          <w:spacing w:val="-10"/>
          <w:szCs w:val="21"/>
        </w:rPr>
        <w:t>□</w:t>
      </w:r>
      <w:r>
        <w:rPr>
          <w:rFonts w:hint="eastAsia"/>
          <w:b/>
          <w:color w:val="auto"/>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843" w:firstLineChars="400"/>
        <w:rPr>
          <w:b/>
          <w:color w:val="000000" w:themeColor="text1"/>
          <w:szCs w:val="21"/>
        </w:rPr>
      </w:pPr>
      <w:r>
        <w:rPr>
          <w:rFonts w:hint="eastAsia"/>
          <w:b/>
          <w:bCs/>
          <w:color w:val="000000" w:themeColor="text1"/>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auto"/>
          <w:szCs w:val="21"/>
        </w:rPr>
      </w:pPr>
      <w:r>
        <w:rPr>
          <w:rFonts w:hint="eastAsia"/>
          <w:b/>
          <w:color w:val="auto"/>
          <w:szCs w:val="21"/>
        </w:rPr>
        <w:t xml:space="preserve">组长签字:   </w:t>
      </w:r>
      <w:r>
        <w:rPr>
          <w:b/>
          <w:color w:val="auto"/>
          <w:szCs w:val="21"/>
        </w:rPr>
        <w:drawing>
          <wp:inline distT="0" distB="0" distL="0" distR="0">
            <wp:extent cx="384175" cy="304800"/>
            <wp:effectExtent l="19050" t="0" r="0"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noChangeArrowheads="1"/>
                    </pic:cNvPicPr>
                  </pic:nvPicPr>
                  <pic:blipFill>
                    <a:blip r:embed="rId7"/>
                    <a:srcRect/>
                    <a:stretch>
                      <a:fillRect/>
                    </a:stretch>
                  </pic:blipFill>
                  <pic:spPr>
                    <a:xfrm>
                      <a:off x="0" y="0"/>
                      <a:ext cx="384175" cy="304800"/>
                    </a:xfrm>
                    <a:prstGeom prst="rect">
                      <a:avLst/>
                    </a:prstGeom>
                    <a:noFill/>
                  </pic:spPr>
                </pic:pic>
              </a:graphicData>
            </a:graphic>
          </wp:inline>
        </w:drawing>
      </w:r>
      <w:r>
        <w:rPr>
          <w:rFonts w:hint="eastAsia"/>
          <w:b/>
          <w:color w:val="auto"/>
          <w:szCs w:val="21"/>
        </w:rPr>
        <w:t xml:space="preserve">                            日期:     2020  年</w:t>
      </w:r>
      <w:r>
        <w:rPr>
          <w:rFonts w:hint="eastAsia"/>
          <w:b/>
          <w:color w:val="auto"/>
          <w:szCs w:val="21"/>
          <w:lang w:val="en-US" w:eastAsia="zh-CN"/>
        </w:rPr>
        <w:t>11</w:t>
      </w:r>
      <w:r>
        <w:rPr>
          <w:rFonts w:hint="eastAsia"/>
          <w:b/>
          <w:color w:val="auto"/>
          <w:szCs w:val="21"/>
        </w:rPr>
        <w:t>月</w:t>
      </w:r>
      <w:r>
        <w:rPr>
          <w:rFonts w:hint="eastAsia"/>
          <w:b/>
          <w:color w:val="auto"/>
          <w:szCs w:val="21"/>
          <w:lang w:val="en-US" w:eastAsia="zh-CN"/>
        </w:rPr>
        <w:t>27</w:t>
      </w:r>
      <w:r>
        <w:rPr>
          <w:rFonts w:hint="eastAsia"/>
          <w:b/>
          <w:color w:val="auto"/>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pacing w:line="360" w:lineRule="auto"/>
        <w:ind w:left="202" w:leftChars="-405" w:hanging="1052" w:hangingChars="403"/>
        <w:rPr>
          <w:b/>
          <w:color w:val="000000" w:themeColor="text1"/>
        </w:rPr>
      </w:pPr>
      <w:r>
        <w:rPr>
          <w:rFonts w:hint="eastAsia"/>
          <w:b/>
          <w:color w:val="000000" w:themeColor="text1"/>
          <w:sz w:val="26"/>
          <w:szCs w:val="26"/>
        </w:rPr>
        <w:t>十七、与末次会议结论不同处的说明和其他说明：(技术委员会填写)</w:t>
      </w:r>
    </w:p>
    <w:p>
      <w:pPr>
        <w:spacing w:before="156" w:beforeLines="50" w:after="156" w:afterLines="50" w:line="360" w:lineRule="auto"/>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360" w:lineRule="auto"/>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360" w:lineRule="auto"/>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360" w:lineRule="auto"/>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spacing w:line="360" w:lineRule="auto"/>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spacing w:line="360" w:lineRule="auto"/>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spacing w:line="360" w:lineRule="auto"/>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spacing w:line="360" w:lineRule="auto"/>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7"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7"/>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F4B6A2"/>
    <w:multiLevelType w:val="singleLevel"/>
    <w:tmpl w:val="FAF4B6A2"/>
    <w:lvl w:ilvl="0" w:tentative="0">
      <w:start w:val="13"/>
      <w:numFmt w:val="chineseCounting"/>
      <w:suff w:val="space"/>
      <w:lvlText w:val="%1、"/>
      <w:lvlJc w:val="left"/>
      <w:rPr>
        <w:rFonts w:hint="eastAsia"/>
      </w:r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82908"/>
    <w:rsid w:val="000C6E9D"/>
    <w:rsid w:val="002D4105"/>
    <w:rsid w:val="00366B2E"/>
    <w:rsid w:val="004645AF"/>
    <w:rsid w:val="005A3AEB"/>
    <w:rsid w:val="006707FA"/>
    <w:rsid w:val="006A0841"/>
    <w:rsid w:val="00743E04"/>
    <w:rsid w:val="00782EF5"/>
    <w:rsid w:val="0079586F"/>
    <w:rsid w:val="00834C8E"/>
    <w:rsid w:val="00875555"/>
    <w:rsid w:val="00A729A1"/>
    <w:rsid w:val="00AD6326"/>
    <w:rsid w:val="00AE42F6"/>
    <w:rsid w:val="00B3636A"/>
    <w:rsid w:val="00B6287E"/>
    <w:rsid w:val="00BA52E8"/>
    <w:rsid w:val="00EB742D"/>
    <w:rsid w:val="00EC5CFF"/>
    <w:rsid w:val="00F106ED"/>
    <w:rsid w:val="00F82908"/>
    <w:rsid w:val="00FB4205"/>
    <w:rsid w:val="01896960"/>
    <w:rsid w:val="046B5126"/>
    <w:rsid w:val="07BA4349"/>
    <w:rsid w:val="084A345F"/>
    <w:rsid w:val="1015715D"/>
    <w:rsid w:val="11A82018"/>
    <w:rsid w:val="12774203"/>
    <w:rsid w:val="1FCF410F"/>
    <w:rsid w:val="23F2336F"/>
    <w:rsid w:val="26102290"/>
    <w:rsid w:val="27524B4D"/>
    <w:rsid w:val="2AC356B9"/>
    <w:rsid w:val="2C3B412D"/>
    <w:rsid w:val="2D993B94"/>
    <w:rsid w:val="2F0D7750"/>
    <w:rsid w:val="406818FB"/>
    <w:rsid w:val="4BDD2C35"/>
    <w:rsid w:val="4C542B55"/>
    <w:rsid w:val="500C6FA8"/>
    <w:rsid w:val="501F470A"/>
    <w:rsid w:val="52E04E76"/>
    <w:rsid w:val="59836E57"/>
    <w:rsid w:val="5F6902FC"/>
    <w:rsid w:val="5FED4CBF"/>
    <w:rsid w:val="60CA64FC"/>
    <w:rsid w:val="646C323E"/>
    <w:rsid w:val="689D6AA2"/>
    <w:rsid w:val="6B347580"/>
    <w:rsid w:val="6FA70578"/>
    <w:rsid w:val="71B913CF"/>
    <w:rsid w:val="75854329"/>
    <w:rsid w:val="7631661D"/>
    <w:rsid w:val="79DD5FEB"/>
    <w:rsid w:val="7AC9563E"/>
    <w:rsid w:val="7AF7539A"/>
    <w:rsid w:val="7FED7B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1268</Words>
  <Characters>7231</Characters>
  <Lines>60</Lines>
  <Paragraphs>16</Paragraphs>
  <TotalTime>19</TotalTime>
  <ScaleCrop>false</ScaleCrop>
  <LinksUpToDate>false</LinksUpToDate>
  <CharactersWithSpaces>8483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2020-11-27T03:43:06Z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