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条款</w:t>
            </w:r>
          </w:p>
        </w:tc>
        <w:tc>
          <w:tcPr>
            <w:tcW w:w="10004"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受审核部门：</w:t>
            </w:r>
            <w:r>
              <w:rPr>
                <w:rFonts w:hint="eastAsia" w:asciiTheme="minorEastAsia" w:hAnsiTheme="minorEastAsia" w:eastAsiaTheme="minorEastAsia" w:cstheme="minorEastAsia"/>
                <w:sz w:val="24"/>
                <w:szCs w:val="24"/>
                <w:lang w:val="en-US" w:eastAsia="zh-CN"/>
              </w:rPr>
              <w:t xml:space="preserve">技术部  业务部    </w:t>
            </w:r>
            <w:r>
              <w:rPr>
                <w:rFonts w:hint="eastAsia" w:asciiTheme="minorEastAsia" w:hAnsiTheme="minorEastAsia" w:eastAsiaTheme="minorEastAsia" w:cstheme="minorEastAsia"/>
                <w:sz w:val="24"/>
                <w:szCs w:val="24"/>
              </w:rPr>
              <w:t>主管领导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赵永刚、</w:t>
            </w:r>
            <w:r>
              <w:rPr>
                <w:rFonts w:hint="eastAsia"/>
                <w:sz w:val="24"/>
                <w:szCs w:val="24"/>
                <w:lang w:eastAsia="zh-CN"/>
              </w:rPr>
              <w:t>宋琪</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陪同人员</w:t>
            </w:r>
            <w:r>
              <w:rPr>
                <w:rFonts w:hint="eastAsia" w:asciiTheme="minorEastAsia" w:hAnsiTheme="minorEastAsia" w:eastAsiaTheme="minorEastAsia" w:cstheme="minorEastAsia"/>
                <w:sz w:val="24"/>
                <w:szCs w:val="24"/>
                <w:lang w:eastAsia="zh-CN"/>
              </w:rPr>
              <w:t>：李绍峰、</w:t>
            </w:r>
            <w:r>
              <w:rPr>
                <w:rFonts w:hint="eastAsia"/>
                <w:sz w:val="24"/>
                <w:szCs w:val="24"/>
                <w:lang w:eastAsia="zh-CN"/>
              </w:rPr>
              <w:t>刘利佳</w:t>
            </w:r>
          </w:p>
        </w:tc>
        <w:tc>
          <w:tcPr>
            <w:tcW w:w="1585" w:type="dxa"/>
            <w:vMerge w:val="restart"/>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120" w:beforeAutospacing="0" w:after="0" w:afterAutospacing="0"/>
              <w:ind w:left="0" w:right="0"/>
              <w:rPr>
                <w:rFonts w:hint="default"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 w:val="24"/>
                <w:szCs w:val="24"/>
              </w:rPr>
              <w:t>审核员：李俐  郭力</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审核时间：</w:t>
            </w:r>
            <w:r>
              <w:rPr>
                <w:rFonts w:hint="eastAsia" w:asciiTheme="minorEastAsia" w:hAnsiTheme="minorEastAsia" w:eastAsiaTheme="minorEastAsia" w:cstheme="minorEastAsia"/>
                <w:sz w:val="24"/>
                <w:szCs w:val="24"/>
                <w:lang w:val="en-US" w:eastAsia="zh-CN"/>
              </w:rPr>
              <w:t>2020.11.27</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960" w:type="dxa"/>
            <w:vMerge w:val="continue"/>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c>
          <w:tcPr>
            <w:tcW w:w="10004" w:type="dxa"/>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asciiTheme="minorEastAsia" w:hAnsiTheme="minorEastAsia" w:eastAsiaTheme="minorEastAsia" w:cstheme="minorEastAsia"/>
                <w:sz w:val="24"/>
                <w:szCs w:val="24"/>
              </w:rPr>
              <w:t>审核条款：</w:t>
            </w:r>
            <w:r>
              <w:rPr>
                <w:rFonts w:hint="eastAsia"/>
                <w:sz w:val="21"/>
                <w:szCs w:val="21"/>
                <w:lang w:val="en-US" w:eastAsia="zh-CN"/>
              </w:rPr>
              <w:t>结合现场确认以下内容：基础设施；运行环境；监视和测量资源；生产和服务提供的控制；标识和可追溯性；产品和服务的放行</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Cs w:val="21"/>
                <w:highlight w:val="none"/>
                <w:lang w:val="en-US" w:eastAsia="zh-CN"/>
              </w:rPr>
              <w:t>Q</w:t>
            </w:r>
            <w:r>
              <w:rPr>
                <w:rFonts w:hint="eastAsia" w:asciiTheme="minorEastAsia" w:hAnsiTheme="minorEastAsia" w:eastAsiaTheme="minorEastAsia" w:cstheme="minorEastAsia"/>
                <w:szCs w:val="21"/>
                <w:highlight w:val="none"/>
              </w:rPr>
              <w:t>7.1.3基础设施</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7.1.4过程运行环境</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7.1.5监视和测量资源</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8.5.1生产和服务提供的控制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8.5.</w:t>
            </w:r>
            <w:r>
              <w:rPr>
                <w:rFonts w:hint="eastAsia" w:asciiTheme="minorEastAsia" w:hAnsiTheme="minorEastAsia" w:eastAsiaTheme="minorEastAsia" w:cstheme="minorEastAsia"/>
                <w:szCs w:val="21"/>
                <w:highlight w:val="none"/>
                <w:lang w:val="en-US" w:eastAsia="zh-CN"/>
              </w:rPr>
              <w:t>2标识和可追溯性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8.6产品和服务的放行</w:t>
            </w:r>
          </w:p>
        </w:tc>
        <w:tc>
          <w:tcPr>
            <w:tcW w:w="1585" w:type="dxa"/>
            <w:vMerge w:val="continue"/>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Cs w:val="21"/>
                <w:highlight w:val="none"/>
              </w:rPr>
              <w:t>基础设施</w:t>
            </w:r>
          </w:p>
        </w:tc>
        <w:tc>
          <w:tcPr>
            <w:tcW w:w="960" w:type="dxa"/>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1"/>
                <w:szCs w:val="20"/>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4"/>
                <w:szCs w:val="20"/>
              </w:rPr>
              <w:t>7.1.3</w:t>
            </w:r>
          </w:p>
        </w:tc>
        <w:tc>
          <w:tcPr>
            <w:tcW w:w="10004" w:type="dxa"/>
            <w:vAlign w:val="top"/>
          </w:tcPr>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lang w:val="en-US" w:eastAsia="zh-CN"/>
              </w:rPr>
              <w:t>查</w:t>
            </w:r>
            <w:r>
              <w:rPr>
                <w:rFonts w:hint="eastAsia" w:asciiTheme="minorEastAsia" w:hAnsiTheme="minorEastAsia" w:eastAsiaTheme="minorEastAsia" w:cstheme="minorEastAsia"/>
                <w:sz w:val="24"/>
                <w:szCs w:val="20"/>
              </w:rPr>
              <w:t>公司编制的“</w:t>
            </w:r>
            <w:r>
              <w:rPr>
                <w:rFonts w:hint="eastAsia" w:asciiTheme="minorEastAsia" w:hAnsiTheme="minorEastAsia" w:eastAsiaTheme="minorEastAsia" w:cstheme="minorEastAsia"/>
                <w:sz w:val="24"/>
                <w:szCs w:val="20"/>
                <w:lang w:eastAsia="zh-CN"/>
              </w:rPr>
              <w:t>基础设施和过程运行环境控制程序</w:t>
            </w:r>
            <w:r>
              <w:rPr>
                <w:rFonts w:hint="eastAsia" w:asciiTheme="minorEastAsia" w:hAnsiTheme="minorEastAsia" w:eastAsiaTheme="minorEastAsia" w:cstheme="minorEastAsia"/>
                <w:sz w:val="24"/>
                <w:szCs w:val="20"/>
              </w:rPr>
              <w:t>”，规定了基础设施的管理要求。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经现场查看，公司经营地址位于西安市高新区锦业二路信凯工业园C栋205室，办公面积</w:t>
            </w:r>
            <w:r>
              <w:rPr>
                <w:rFonts w:hint="eastAsia" w:asciiTheme="minorEastAsia" w:hAnsiTheme="minorEastAsia" w:eastAsiaTheme="minorEastAsia" w:cstheme="minorEastAsia"/>
                <w:sz w:val="24"/>
                <w:szCs w:val="20"/>
                <w:lang w:val="en-US" w:eastAsia="zh-CN"/>
              </w:rPr>
              <w:t>1</w:t>
            </w:r>
            <w:r>
              <w:rPr>
                <w:rFonts w:hint="eastAsia" w:asciiTheme="minorEastAsia" w:hAnsiTheme="minorEastAsia" w:eastAsiaTheme="minorEastAsia" w:cstheme="minorEastAsia"/>
                <w:sz w:val="24"/>
                <w:szCs w:val="20"/>
              </w:rPr>
              <w:t>80平米，配置了办公电脑</w:t>
            </w:r>
            <w:r>
              <w:rPr>
                <w:rFonts w:hint="eastAsia" w:asciiTheme="minorEastAsia" w:hAnsiTheme="minorEastAsia" w:eastAsiaTheme="minorEastAsia" w:cstheme="minorEastAsia"/>
                <w:sz w:val="24"/>
                <w:szCs w:val="20"/>
                <w:lang w:val="en-US" w:eastAsia="zh-CN"/>
              </w:rPr>
              <w:t>11</w:t>
            </w:r>
            <w:r>
              <w:rPr>
                <w:rFonts w:hint="eastAsia" w:asciiTheme="minorEastAsia" w:hAnsiTheme="minorEastAsia" w:eastAsiaTheme="minorEastAsia" w:cstheme="minorEastAsia"/>
                <w:sz w:val="24"/>
                <w:szCs w:val="20"/>
              </w:rPr>
              <w:t>台；打印/复印机2台；传真机一部，办公桌椅、文件柜配置齐全。</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公司</w:t>
            </w:r>
            <w:r>
              <w:rPr>
                <w:rFonts w:hint="eastAsia" w:asciiTheme="minorEastAsia" w:hAnsiTheme="minorEastAsia" w:eastAsiaTheme="minorEastAsia" w:cstheme="minorEastAsia"/>
                <w:sz w:val="24"/>
                <w:szCs w:val="20"/>
                <w:lang w:val="en-US" w:eastAsia="zh-CN"/>
              </w:rPr>
              <w:t>设备配置</w:t>
            </w:r>
            <w:r>
              <w:rPr>
                <w:rFonts w:hint="eastAsia" w:asciiTheme="minorEastAsia" w:hAnsiTheme="minorEastAsia" w:eastAsiaTheme="minorEastAsia" w:cstheme="minorEastAsia"/>
                <w:sz w:val="24"/>
                <w:szCs w:val="20"/>
              </w:rPr>
              <w:t>，设备</w:t>
            </w:r>
            <w:r>
              <w:rPr>
                <w:rFonts w:hint="eastAsia" w:asciiTheme="minorEastAsia" w:hAnsiTheme="minorEastAsia" w:eastAsiaTheme="minorEastAsia" w:cstheme="minorEastAsia"/>
                <w:sz w:val="24"/>
                <w:szCs w:val="20"/>
                <w:lang w:val="en-US" w:eastAsia="zh-CN"/>
              </w:rPr>
              <w:t>5</w:t>
            </w:r>
            <w:r>
              <w:rPr>
                <w:rFonts w:hint="eastAsia" w:asciiTheme="minorEastAsia" w:hAnsiTheme="minorEastAsia" w:eastAsiaTheme="minorEastAsia" w:cstheme="minorEastAsia"/>
                <w:sz w:val="24"/>
                <w:szCs w:val="20"/>
              </w:rPr>
              <w:t>台/套（主要为</w:t>
            </w:r>
            <w:r>
              <w:rPr>
                <w:rFonts w:hint="eastAsia" w:asciiTheme="minorEastAsia" w:hAnsiTheme="minorEastAsia" w:eastAsiaTheme="minorEastAsia" w:cstheme="minorEastAsia"/>
                <w:sz w:val="24"/>
                <w:szCs w:val="20"/>
                <w:lang w:val="en-US" w:eastAsia="zh-CN"/>
              </w:rPr>
              <w:t>安装、调试所用的工具</w:t>
            </w:r>
            <w:r>
              <w:rPr>
                <w:rFonts w:hint="eastAsia" w:asciiTheme="minorEastAsia" w:hAnsiTheme="minorEastAsia" w:eastAsiaTheme="minorEastAsia" w:cstheme="minorEastAsia"/>
                <w:sz w:val="24"/>
                <w:szCs w:val="20"/>
              </w:rPr>
              <w:t>），监视和测量设备</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台/件</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主要为万用表、声场分析仪、测距仪</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状态完好</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满足Q:建筑声学材料、音响器材、智能化会议系统的销售；建筑声学的设计、技术咨询服务；灯光音响系统的设计、安装及调试；投影显示的技术咨询服务需求。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0"/>
              </w:rPr>
              <w:t>技术部将设备的日常维护保养落实到具体的操作者</w:t>
            </w:r>
            <w:r>
              <w:rPr>
                <w:rFonts w:hint="eastAsia" w:asciiTheme="minorEastAsia" w:hAnsiTheme="minorEastAsia" w:eastAsiaTheme="minorEastAsia" w:cstheme="minorEastAsia"/>
                <w:sz w:val="24"/>
                <w:szCs w:val="22"/>
                <w:lang w:val="en-US" w:eastAsia="zh-CN"/>
              </w:rPr>
              <w:t>，查看的声场分析仪PHONIC PAA6、测距仪BOSCH GLM30的“维护保养记录”（2020.8.3、2020.11.2），以上记录均填写完整，清晰，审批签字齐全，设备日常保养符合策划要求。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rPr>
              <w:t>部门对基础设施的管理符合规定要求。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过程运行环境</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7.1.4</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设计、技术咨询服务以及安装调试过程和办公过程对环境要求一般，无特殊要求，办公室环境卫生较好。</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视频巡视：办公环境光照、温度适宜，通风良好，电路布线合理、电气插座完整，未见破损，办公场所物品摆放整齐、有序，未见随意乱放私人物品的情况，未见用电不当等安全隐患及不良影响现象。</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2"/>
                <w:lang w:val="en-US" w:eastAsia="zh-CN"/>
              </w:rPr>
              <w:t>确定并提供了产品要求所需的工作环境，工作环境适宜，现有工作环境能满足提供合格服务的需要。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监视和测量资源</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Q</w:t>
            </w:r>
            <w:r>
              <w:rPr>
                <w:rFonts w:hint="eastAsia" w:asciiTheme="minorEastAsia" w:hAnsiTheme="minorEastAsia" w:eastAsiaTheme="minorEastAsia" w:cstheme="minorEastAsia"/>
                <w:sz w:val="24"/>
                <w:szCs w:val="20"/>
              </w:rPr>
              <w:t>7.1.5</w:t>
            </w:r>
          </w:p>
        </w:tc>
        <w:tc>
          <w:tcPr>
            <w:tcW w:w="10004" w:type="dxa"/>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0"/>
              </w:rPr>
              <w:t>经查：公司编制的“</w:t>
            </w:r>
            <w:r>
              <w:rPr>
                <w:rFonts w:hint="eastAsia" w:asciiTheme="minorEastAsia" w:hAnsiTheme="minorEastAsia" w:eastAsiaTheme="minorEastAsia" w:cstheme="minorEastAsia"/>
                <w:sz w:val="24"/>
                <w:szCs w:val="20"/>
                <w:lang w:eastAsia="zh-CN"/>
              </w:rPr>
              <w:t>监视和测量资源控制程序</w:t>
            </w:r>
            <w:r>
              <w:rPr>
                <w:rFonts w:hint="eastAsia" w:asciiTheme="minorEastAsia" w:hAnsiTheme="minorEastAsia" w:eastAsiaTheme="minorEastAsia" w:cstheme="minorEastAsia"/>
                <w:sz w:val="24"/>
                <w:szCs w:val="20"/>
              </w:rPr>
              <w:t>”，规定了监视和测量资源的管理要求。公司为</w:t>
            </w:r>
            <w:r>
              <w:rPr>
                <w:rFonts w:hint="eastAsia" w:asciiTheme="minorEastAsia" w:hAnsiTheme="minorEastAsia" w:eastAsiaTheme="minorEastAsia" w:cstheme="minorEastAsia"/>
                <w:sz w:val="24"/>
                <w:szCs w:val="20"/>
                <w:lang w:val="en-US" w:eastAsia="zh-CN"/>
              </w:rPr>
              <w:t>声学</w:t>
            </w:r>
            <w:r>
              <w:rPr>
                <w:rFonts w:hint="eastAsia" w:asciiTheme="minorEastAsia" w:hAnsiTheme="minorEastAsia" w:eastAsiaTheme="minorEastAsia" w:cstheme="minorEastAsia"/>
                <w:sz w:val="24"/>
                <w:szCs w:val="20"/>
              </w:rPr>
              <w:t>检测配置了相应的监视和测量资源，公司现有监视和测量设备</w:t>
            </w:r>
            <w:r>
              <w:rPr>
                <w:rFonts w:hint="eastAsia" w:asciiTheme="minorEastAsia" w:hAnsiTheme="minorEastAsia" w:eastAsiaTheme="minorEastAsia" w:cstheme="minorEastAsia"/>
                <w:sz w:val="24"/>
                <w:szCs w:val="20"/>
                <w:lang w:val="en-US" w:eastAsia="zh-CN"/>
              </w:rPr>
              <w:t>3</w:t>
            </w:r>
            <w:r>
              <w:rPr>
                <w:rFonts w:hint="eastAsia" w:asciiTheme="minorEastAsia" w:hAnsiTheme="minorEastAsia" w:eastAsiaTheme="minorEastAsia" w:cstheme="minorEastAsia"/>
                <w:sz w:val="24"/>
                <w:szCs w:val="20"/>
              </w:rPr>
              <w:t>台/件。</w:t>
            </w:r>
          </w:p>
          <w:p>
            <w:pPr>
              <w:keepNext w:val="0"/>
              <w:keepLines w:val="0"/>
              <w:suppressLineNumbers w:val="0"/>
              <w:tabs>
                <w:tab w:val="left" w:pos="-52"/>
              </w:tabs>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bookmarkStart w:id="0" w:name="_Hlk533169230"/>
            <w:bookmarkStart w:id="1" w:name="_Hlk520034696"/>
            <w:r>
              <w:rPr>
                <w:rFonts w:hint="eastAsia" w:asciiTheme="minorEastAsia" w:hAnsiTheme="minorEastAsia" w:eastAsiaTheme="minorEastAsia" w:cstheme="minorEastAsia"/>
                <w:sz w:val="24"/>
                <w:szCs w:val="20"/>
              </w:rPr>
              <w:t>现场查看的用于Q:建筑声学材料、音响器材、智能化会议系统的销售；建筑声学的设计、技术咨询服务；灯光音响系统的设计、安装及调试；投影显示的技术咨询服务</w:t>
            </w:r>
            <w:r>
              <w:rPr>
                <w:rFonts w:hint="eastAsia" w:asciiTheme="minorEastAsia" w:hAnsiTheme="minorEastAsia" w:eastAsiaTheme="minorEastAsia" w:cstheme="minorEastAsia"/>
                <w:sz w:val="24"/>
                <w:szCs w:val="20"/>
                <w:lang w:val="en-US" w:eastAsia="zh-CN"/>
              </w:rPr>
              <w:t>设备主要有（计算机、安装工</w:t>
            </w:r>
            <w:r>
              <w:rPr>
                <w:rFonts w:hint="eastAsia" w:asciiTheme="minorEastAsia" w:hAnsiTheme="minorEastAsia" w:eastAsiaTheme="minorEastAsia" w:cstheme="minorEastAsia"/>
                <w:sz w:val="24"/>
                <w:szCs w:val="22"/>
                <w:lang w:val="en-US" w:eastAsia="zh-CN"/>
              </w:rPr>
              <w:t>具等）</w:t>
            </w:r>
            <w:r>
              <w:rPr>
                <w:rFonts w:hint="eastAsia" w:asciiTheme="minorEastAsia" w:hAnsiTheme="minorEastAsia" w:eastAsiaTheme="minorEastAsia" w:cstheme="minorEastAsia"/>
                <w:sz w:val="24"/>
                <w:szCs w:val="22"/>
              </w:rPr>
              <w:t>、检验用的</w:t>
            </w:r>
            <w:r>
              <w:rPr>
                <w:rFonts w:hint="eastAsia" w:asciiTheme="minorEastAsia" w:hAnsiTheme="minorEastAsia" w:eastAsiaTheme="minorEastAsia" w:cstheme="minorEastAsia"/>
                <w:sz w:val="24"/>
                <w:szCs w:val="22"/>
                <w:lang w:val="en-US" w:eastAsia="zh-CN"/>
              </w:rPr>
              <w:t>万用表VC9805A</w:t>
            </w:r>
            <w:r>
              <w:rPr>
                <w:rFonts w:hint="eastAsia" w:asciiTheme="minorEastAsia" w:hAnsiTheme="minorEastAsia" w:eastAsiaTheme="minorEastAsia" w:cstheme="minorEastAsia"/>
                <w:sz w:val="24"/>
                <w:szCs w:val="22"/>
              </w:rPr>
              <w:t>的校准证书（证书编号：XL0908）</w:t>
            </w:r>
            <w:r>
              <w:rPr>
                <w:rFonts w:hint="eastAsia" w:asciiTheme="minorEastAsia" w:hAnsiTheme="minorEastAsia" w:eastAsiaTheme="minorEastAsia" w:cstheme="minorEastAsia"/>
                <w:sz w:val="24"/>
                <w:szCs w:val="22"/>
                <w:lang w:val="en-US" w:eastAsia="zh-CN"/>
              </w:rPr>
              <w:t>、测距仪BOSCH GLM30</w:t>
            </w:r>
            <w:r>
              <w:rPr>
                <w:rFonts w:hint="eastAsia" w:asciiTheme="minorEastAsia" w:hAnsiTheme="minorEastAsia" w:eastAsiaTheme="minorEastAsia" w:cstheme="minorEastAsia"/>
                <w:sz w:val="24"/>
                <w:szCs w:val="22"/>
              </w:rPr>
              <w:t>的校准证书（证书编号：XL09</w:t>
            </w:r>
            <w:r>
              <w:rPr>
                <w:rFonts w:hint="eastAsia" w:asciiTheme="minorEastAsia" w:hAnsiTheme="minorEastAsia" w:eastAsiaTheme="minorEastAsia" w:cstheme="minorEastAsia"/>
                <w:sz w:val="24"/>
                <w:szCs w:val="22"/>
                <w:lang w:val="en-US" w:eastAsia="zh-CN"/>
              </w:rPr>
              <w:t>10</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、声场分析仪PHONIC PAA6</w:t>
            </w:r>
            <w:r>
              <w:rPr>
                <w:rFonts w:hint="eastAsia" w:asciiTheme="minorEastAsia" w:hAnsiTheme="minorEastAsia" w:eastAsiaTheme="minorEastAsia" w:cstheme="minorEastAsia"/>
                <w:sz w:val="24"/>
                <w:szCs w:val="22"/>
              </w:rPr>
              <w:t>的校准证书（证书编号：</w:t>
            </w:r>
            <w:r>
              <w:rPr>
                <w:rFonts w:hint="eastAsia" w:asciiTheme="minorEastAsia" w:hAnsiTheme="minorEastAsia" w:eastAsiaTheme="minorEastAsia" w:cstheme="minorEastAsia"/>
                <w:sz w:val="24"/>
                <w:szCs w:val="22"/>
                <w:lang w:val="en-US" w:eastAsia="zh-CN"/>
              </w:rPr>
              <w:t>ZF29011</w:t>
            </w:r>
            <w:r>
              <w:rPr>
                <w:rFonts w:hint="eastAsia" w:asciiTheme="minorEastAsia" w:hAnsiTheme="minorEastAsia" w:eastAsiaTheme="minorEastAsia" w:cstheme="minorEastAsia"/>
                <w:sz w:val="24"/>
                <w:szCs w:val="22"/>
              </w:rPr>
              <w:t>08</w:t>
            </w:r>
            <w:r>
              <w:rPr>
                <w:rFonts w:hint="eastAsia" w:asciiTheme="minorEastAsia" w:hAnsiTheme="minorEastAsia" w:eastAsiaTheme="minorEastAsia" w:cstheme="minorEastAsia"/>
                <w:sz w:val="24"/>
                <w:szCs w:val="22"/>
                <w:lang w:val="en-US" w:eastAsia="zh-CN"/>
              </w:rPr>
              <w:t>G</w:t>
            </w:r>
            <w:r>
              <w:rPr>
                <w:rFonts w:hint="eastAsia" w:asciiTheme="minorEastAsia" w:hAnsiTheme="minorEastAsia" w:eastAsiaTheme="minorEastAsia" w:cstheme="minorEastAsia"/>
                <w:sz w:val="24"/>
                <w:szCs w:val="22"/>
              </w:rPr>
              <w:t>），由</w:t>
            </w:r>
            <w:r>
              <w:rPr>
                <w:rFonts w:hint="eastAsia" w:asciiTheme="minorEastAsia" w:hAnsiTheme="minorEastAsia" w:eastAsiaTheme="minorEastAsia" w:cstheme="minorEastAsia"/>
                <w:sz w:val="24"/>
                <w:szCs w:val="22"/>
                <w:lang w:val="en-US" w:eastAsia="zh-CN"/>
              </w:rPr>
              <w:t>陕西省计量科学研究院</w:t>
            </w:r>
            <w:r>
              <w:rPr>
                <w:rFonts w:hint="eastAsia" w:asciiTheme="minorEastAsia" w:hAnsiTheme="minorEastAsia" w:eastAsiaTheme="minorEastAsia" w:cstheme="minorEastAsia"/>
                <w:sz w:val="24"/>
                <w:szCs w:val="22"/>
              </w:rPr>
              <w:t>校</w:t>
            </w:r>
            <w:r>
              <w:rPr>
                <w:rFonts w:hint="eastAsia" w:asciiTheme="minorEastAsia" w:hAnsiTheme="minorEastAsia" w:eastAsiaTheme="minorEastAsia" w:cstheme="minorEastAsia"/>
                <w:sz w:val="24"/>
                <w:szCs w:val="20"/>
              </w:rPr>
              <w:t>准合格。</w:t>
            </w:r>
            <w:bookmarkEnd w:id="0"/>
          </w:p>
          <w:bookmarkEnd w:id="1"/>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公司无计算机软件用于检测。</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设计服务提供的控制</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Q8.5.1</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现场观察</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Cs/>
                <w:sz w:val="24"/>
                <w:szCs w:val="24"/>
              </w:rPr>
            </w:pP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公司从事建筑声学的设计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灯光音响系统的设计。通常依据客户技术要求、GBT 28049-2011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厅堂、体育场馆扩声系统设计规范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GBT50356-2005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剧场、电影院和多用途厅堂建筑声学设计规范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进行设计开发。</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设计开发服务基本流程是：</w:t>
            </w:r>
            <w:r>
              <w:rPr>
                <w:rFonts w:hint="eastAsia" w:asciiTheme="minorEastAsia" w:hAnsiTheme="minorEastAsia" w:eastAsiaTheme="minorEastAsia" w:cstheme="minorEastAsia"/>
                <w:sz w:val="24"/>
                <w:szCs w:val="24"/>
                <w:lang w:val="en-US" w:eastAsia="zh-CN"/>
              </w:rPr>
              <w:t>签订合同-现场勘察-设计过程-评审-验证-确认-交付-客户验收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公司编制有《设计开发控制程序》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产品设计开发过程中使用的电脑及系统软件设计工具等设备能满足要求。公司目前现有一支专业的产品设计开发人员，全部是本科以上学历，可满足设计开发服务要求。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抽查到建筑声学的设计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灯光音响系统的设计资料。公司按照设计开发程序要求安排了适当的设计开发策划、评审、验证、确认活动，所设计建筑声学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灯光音响系统经过客户</w:t>
            </w:r>
            <w:r>
              <w:rPr>
                <w:rFonts w:hint="eastAsia" w:asciiTheme="minorEastAsia" w:hAnsiTheme="minorEastAsia" w:eastAsiaTheme="minorEastAsia" w:cstheme="minorEastAsia"/>
                <w:sz w:val="24"/>
                <w:szCs w:val="24"/>
                <w:lang w:val="en-US" w:eastAsia="zh-CN"/>
              </w:rPr>
              <w:t>确认</w:t>
            </w:r>
            <w:r>
              <w:rPr>
                <w:rFonts w:hint="eastAsia" w:asciiTheme="minorEastAsia" w:hAnsiTheme="minorEastAsia" w:eastAsiaTheme="minorEastAsia" w:cstheme="minorEastAsia"/>
                <w:sz w:val="24"/>
                <w:szCs w:val="24"/>
              </w:rPr>
              <w:t>后，符合要求。</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产品设计开发过程中及时进行了数据和图纸备份，验收合格后由公司技术部存档。</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设计服务过程通过专人负责、产品专用标识等措施起到了防错作用。</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 w:val="24"/>
                <w:szCs w:val="24"/>
              </w:rPr>
              <w:t>建筑声学的设计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灯光音响系统的设计经过</w:t>
            </w:r>
            <w:r>
              <w:rPr>
                <w:rFonts w:hint="eastAsia" w:asciiTheme="minorEastAsia" w:hAnsiTheme="minorEastAsia" w:eastAsiaTheme="minorEastAsia" w:cstheme="minorEastAsia"/>
                <w:sz w:val="24"/>
                <w:szCs w:val="24"/>
                <w:lang w:val="en-US" w:eastAsia="zh-CN"/>
              </w:rPr>
              <w:t>验证</w:t>
            </w:r>
            <w:r>
              <w:rPr>
                <w:rFonts w:hint="eastAsia" w:asciiTheme="minorEastAsia" w:hAnsiTheme="minorEastAsia" w:eastAsiaTheme="minorEastAsia" w:cstheme="minorEastAsia"/>
                <w:sz w:val="24"/>
                <w:szCs w:val="24"/>
              </w:rPr>
              <w:t>和确认合格后方可放行交付，发现设计问题时执行售后服务相关规定，目前没有发生。</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现场</w:t>
            </w:r>
            <w:r>
              <w:rPr>
                <w:rFonts w:hint="eastAsia" w:asciiTheme="minorEastAsia" w:hAnsiTheme="minorEastAsia" w:eastAsiaTheme="minorEastAsia" w:cstheme="minorEastAsia"/>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技术部</w:t>
            </w:r>
            <w:r>
              <w:rPr>
                <w:rFonts w:hint="eastAsia" w:asciiTheme="minorEastAsia" w:hAnsiTheme="minorEastAsia" w:eastAsiaTheme="minorEastAsia" w:cstheme="minorEastAsia"/>
                <w:color w:val="auto"/>
                <w:sz w:val="24"/>
                <w:szCs w:val="24"/>
              </w:rPr>
              <w:t>李绍峰正在西安高新中学高中部新校区音响会议设备采购</w:t>
            </w:r>
            <w:r>
              <w:rPr>
                <w:rFonts w:hint="eastAsia" w:asciiTheme="minorEastAsia" w:hAnsiTheme="minorEastAsia" w:eastAsiaTheme="minorEastAsia" w:cstheme="minorEastAsia"/>
                <w:color w:val="auto"/>
                <w:sz w:val="24"/>
                <w:szCs w:val="24"/>
                <w:shd w:val="clear" w:color="auto" w:fill="auto"/>
                <w:lang w:val="en-US" w:eastAsia="zh-CN"/>
              </w:rPr>
              <w:t>绘制效果图</w:t>
            </w:r>
            <w:r>
              <w:rPr>
                <w:rFonts w:hint="eastAsia" w:asciiTheme="minorEastAsia" w:hAnsiTheme="minorEastAsia" w:eastAsiaTheme="minorEastAsia" w:cstheme="minorEastAsia"/>
                <w:color w:val="auto"/>
                <w:sz w:val="24"/>
                <w:szCs w:val="24"/>
              </w:rPr>
              <w:t>。</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生产和服务提供的控制</w:t>
            </w:r>
          </w:p>
        </w:tc>
        <w:tc>
          <w:tcPr>
            <w:tcW w:w="960"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lang w:val="en-US" w:eastAsia="zh-CN"/>
              </w:rPr>
              <w:t>Q</w:t>
            </w:r>
            <w:r>
              <w:rPr>
                <w:rFonts w:hint="eastAsia" w:asciiTheme="minorEastAsia" w:hAnsiTheme="minorEastAsia" w:eastAsiaTheme="minorEastAsia" w:cstheme="minorEastAsia"/>
                <w:szCs w:val="20"/>
              </w:rPr>
              <w:t>8.5.1</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lang w:val="en-US" w:eastAsia="zh-CN"/>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4"/>
              </w:rPr>
              <w:t>现场观察</w:t>
            </w:r>
          </w:p>
          <w:p>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0"/>
                <w:lang w:val="en-US" w:eastAsia="zh-CN"/>
              </w:rPr>
            </w:pPr>
          </w:p>
        </w:tc>
        <w:tc>
          <w:tcPr>
            <w:tcW w:w="10004" w:type="dxa"/>
          </w:tcPr>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查公司Q：</w:t>
            </w:r>
            <w:r>
              <w:rPr>
                <w:rFonts w:hint="eastAsia" w:asciiTheme="minorEastAsia" w:hAnsiTheme="minorEastAsia" w:eastAsiaTheme="minorEastAsia" w:cstheme="minorEastAsia"/>
                <w:b/>
                <w:bCs/>
                <w:sz w:val="24"/>
                <w:szCs w:val="24"/>
              </w:rPr>
              <w:t>建筑声学</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投影显示的技术咨询服务</w:t>
            </w:r>
            <w:r>
              <w:rPr>
                <w:rFonts w:hint="eastAsia" w:asciiTheme="minorEastAsia" w:hAnsiTheme="minorEastAsia" w:eastAsiaTheme="minorEastAsia" w:cstheme="minorEastAsia"/>
                <w:sz w:val="24"/>
                <w:szCs w:val="24"/>
                <w:lang w:val="en-US" w:eastAsia="zh-CN"/>
              </w:rPr>
              <w:t>相关内容如下：</w:t>
            </w:r>
          </w:p>
          <w:p>
            <w:pPr>
              <w:keepNext w:val="0"/>
              <w:keepLines w:val="0"/>
              <w:numPr>
                <w:ilvl w:val="0"/>
                <w:numId w:val="0"/>
              </w:numPr>
              <w:suppressLineNumbers w:val="0"/>
              <w:spacing w:before="0" w:beforeAutospacing="0" w:after="0" w:afterAutospacing="0" w:line="360" w:lineRule="auto"/>
              <w:ind w:left="0" w:right="0" w:firstLine="482" w:firstLineChars="200"/>
              <w:jc w:val="left"/>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b/>
                <w:bCs/>
                <w:sz w:val="24"/>
                <w:szCs w:val="24"/>
              </w:rPr>
              <w:t>a)、</w:t>
            </w:r>
            <w:r>
              <w:rPr>
                <w:rFonts w:hint="eastAsia" w:asciiTheme="minorEastAsia" w:hAnsiTheme="minorEastAsia" w:eastAsiaTheme="minorEastAsia" w:cstheme="minorEastAsia"/>
                <w:sz w:val="24"/>
                <w:szCs w:val="24"/>
                <w:lang w:val="en-US" w:eastAsia="zh-CN"/>
              </w:rPr>
              <w:t>公司从事</w:t>
            </w:r>
            <w:r>
              <w:rPr>
                <w:rFonts w:hint="eastAsia" w:asciiTheme="minorEastAsia" w:hAnsiTheme="minorEastAsia" w:eastAsiaTheme="minorEastAsia" w:cstheme="minorEastAsia"/>
                <w:sz w:val="24"/>
                <w:szCs w:val="24"/>
              </w:rPr>
              <w:t>建筑声学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投影显示的技术咨询服务通常依据客户技术要求、GBT 28049-2011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厅堂、体育场馆扩声系统设计规范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GBT50356-2005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剧场、电影院和多用途厅堂建筑声学设计规范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val="en-US" w:eastAsia="zh-CN"/>
              </w:rPr>
              <w:t>技术咨询服务</w:t>
            </w:r>
            <w:r>
              <w:rPr>
                <w:rFonts w:hint="eastAsia" w:asciiTheme="minorEastAsia" w:hAnsiTheme="minorEastAsia" w:eastAsiaTheme="minorEastAsia" w:cstheme="minorEastAsia"/>
                <w:sz w:val="24"/>
                <w:szCs w:val="20"/>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技术咨询</w:t>
            </w:r>
            <w:r>
              <w:rPr>
                <w:rFonts w:hint="eastAsia" w:asciiTheme="minorEastAsia" w:hAnsiTheme="minorEastAsia" w:eastAsiaTheme="minorEastAsia" w:cstheme="minorEastAsia"/>
                <w:sz w:val="24"/>
                <w:szCs w:val="24"/>
              </w:rPr>
              <w:t>服务基本流程是：</w:t>
            </w:r>
            <w:r>
              <w:rPr>
                <w:rFonts w:hint="eastAsia" w:asciiTheme="minorEastAsia" w:hAnsiTheme="minorEastAsia" w:eastAsiaTheme="minorEastAsia" w:cstheme="minorEastAsia"/>
                <w:sz w:val="24"/>
                <w:szCs w:val="24"/>
                <w:lang w:val="en-US" w:eastAsia="zh-CN"/>
              </w:rPr>
              <w:t>现场勘查-提供解决方案-提供现场技术服务（调试、培训等）-提供后续维护保养服务</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sz w:val="24"/>
                <w:szCs w:val="24"/>
                <w:lang w:val="en-US" w:eastAsia="zh-CN"/>
              </w:rPr>
              <w:t>生产和服务</w:t>
            </w:r>
            <w:r>
              <w:rPr>
                <w:rFonts w:hint="eastAsia" w:asciiTheme="minorEastAsia" w:hAnsiTheme="minorEastAsia" w:eastAsiaTheme="minorEastAsia" w:cstheme="minorEastAsia"/>
                <w:sz w:val="24"/>
                <w:szCs w:val="24"/>
              </w:rPr>
              <w:t>控制程序》、《音响工程竣工验收标准》，</w:t>
            </w:r>
            <w:r>
              <w:rPr>
                <w:rFonts w:hint="eastAsia" w:asciiTheme="minorEastAsia" w:hAnsiTheme="minorEastAsia" w:eastAsiaTheme="minorEastAsia" w:cstheme="minorEastAsia"/>
                <w:sz w:val="24"/>
                <w:szCs w:val="24"/>
                <w:lang w:eastAsia="zh-CN"/>
              </w:rPr>
              <w:t>《技术文件评审规范》</w:t>
            </w:r>
            <w:r>
              <w:rPr>
                <w:rFonts w:hint="eastAsia" w:asciiTheme="minorEastAsia" w:hAnsiTheme="minorEastAsia" w:eastAsiaTheme="minorEastAsia" w:cstheme="minorEastAsia"/>
                <w:sz w:val="24"/>
                <w:szCs w:val="24"/>
              </w:rPr>
              <w:t>可以指导并规范员工的实际操作。</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查看</w:t>
            </w:r>
            <w:r>
              <w:rPr>
                <w:rFonts w:hint="eastAsia" w:asciiTheme="minorEastAsia" w:hAnsiTheme="minorEastAsia" w:eastAsiaTheme="minorEastAsia" w:cstheme="minorEastAsia"/>
                <w:color w:val="auto"/>
                <w:sz w:val="24"/>
                <w:szCs w:val="24"/>
                <w:lang w:val="en-US" w:eastAsia="zh-CN"/>
              </w:rPr>
              <w:t>公司于</w:t>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7.4与客户西安高新中学签订的《西安高新中学高中部新校区音响会议设备采购》</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技术咨询服务需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工作内容及</w:t>
            </w:r>
            <w:r>
              <w:rPr>
                <w:rFonts w:hint="eastAsia" w:asciiTheme="minorEastAsia" w:hAnsiTheme="minorEastAsia" w:eastAsiaTheme="minorEastAsia" w:cstheme="minorEastAsia"/>
                <w:color w:val="auto"/>
                <w:sz w:val="24"/>
                <w:szCs w:val="24"/>
              </w:rPr>
              <w:t>进度节点安排。</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再查公司于2020.6.17与陕西省计量科学研究院签订的《</w:t>
            </w:r>
            <w:r>
              <w:rPr>
                <w:rFonts w:hint="eastAsia" w:asciiTheme="minorEastAsia" w:hAnsiTheme="minorEastAsia" w:eastAsiaTheme="minorEastAsia" w:cstheme="minorEastAsia"/>
                <w:color w:val="auto"/>
                <w:sz w:val="24"/>
                <w:szCs w:val="24"/>
              </w:rPr>
              <w:t>陕西省计量科学研究院迁建项目会议音响灯光设备供货</w:t>
            </w:r>
            <w:r>
              <w:rPr>
                <w:rFonts w:hint="eastAsia" w:asciiTheme="minorEastAsia" w:hAnsiTheme="minorEastAsia" w:eastAsiaTheme="minorEastAsia" w:cstheme="minorEastAsia"/>
                <w:color w:val="auto"/>
                <w:sz w:val="24"/>
                <w:szCs w:val="24"/>
                <w:lang w:val="en-US" w:eastAsia="zh-CN"/>
              </w:rPr>
              <w:t>合同》</w:t>
            </w:r>
            <w:r>
              <w:rPr>
                <w:rFonts w:hint="eastAsia" w:asciiTheme="minorEastAsia" w:hAnsiTheme="minorEastAsia" w:eastAsiaTheme="minorEastAsia" w:cstheme="minorEastAsia"/>
                <w:color w:val="auto"/>
                <w:sz w:val="24"/>
                <w:szCs w:val="24"/>
              </w:rPr>
              <w:t>，明确规定了</w:t>
            </w:r>
            <w:r>
              <w:rPr>
                <w:rFonts w:hint="eastAsia" w:asciiTheme="minorEastAsia" w:hAnsiTheme="minorEastAsia" w:eastAsiaTheme="minorEastAsia" w:cstheme="minorEastAsia"/>
                <w:color w:val="auto"/>
                <w:sz w:val="24"/>
                <w:szCs w:val="24"/>
                <w:lang w:val="en-US" w:eastAsia="zh-CN"/>
              </w:rPr>
              <w:t>技术咨询服务需</w:t>
            </w:r>
            <w:r>
              <w:rPr>
                <w:rFonts w:hint="eastAsia" w:asciiTheme="minorEastAsia" w:hAnsiTheme="minorEastAsia" w:eastAsiaTheme="minorEastAsia" w:cstheme="minorEastAsia"/>
                <w:color w:val="auto"/>
                <w:sz w:val="24"/>
                <w:szCs w:val="24"/>
              </w:rPr>
              <w:t>完成的</w:t>
            </w:r>
            <w:r>
              <w:rPr>
                <w:rFonts w:hint="eastAsia" w:asciiTheme="minorEastAsia" w:hAnsiTheme="minorEastAsia" w:eastAsiaTheme="minorEastAsia" w:cstheme="minorEastAsia"/>
                <w:color w:val="auto"/>
                <w:sz w:val="24"/>
                <w:szCs w:val="24"/>
                <w:lang w:val="en-US" w:eastAsia="zh-CN"/>
              </w:rPr>
              <w:t>工作内容及</w:t>
            </w:r>
            <w:r>
              <w:rPr>
                <w:rFonts w:hint="eastAsia" w:asciiTheme="minorEastAsia" w:hAnsiTheme="minorEastAsia" w:eastAsiaTheme="minorEastAsia" w:cstheme="minorEastAsia"/>
                <w:color w:val="auto"/>
                <w:sz w:val="24"/>
                <w:szCs w:val="24"/>
              </w:rPr>
              <w:t>进度节点安排。</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lang w:val="en-US" w:eastAsia="zh-CN"/>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通过现场</w:t>
            </w:r>
            <w:r>
              <w:rPr>
                <w:rFonts w:hint="eastAsia" w:asciiTheme="minorEastAsia" w:hAnsiTheme="minorEastAsia" w:eastAsiaTheme="minorEastAsia" w:cstheme="minorEastAsia"/>
                <w:sz w:val="24"/>
                <w:szCs w:val="24"/>
              </w:rPr>
              <w:t>观察：</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技术部</w:t>
            </w:r>
            <w:r>
              <w:rPr>
                <w:rFonts w:hint="eastAsia" w:asciiTheme="minorEastAsia" w:hAnsiTheme="minorEastAsia" w:eastAsiaTheme="minorEastAsia" w:cstheme="minorEastAsia"/>
                <w:color w:val="auto"/>
                <w:sz w:val="24"/>
                <w:szCs w:val="24"/>
              </w:rPr>
              <w:t>赵永刚正在为</w:t>
            </w:r>
            <w:r>
              <w:rPr>
                <w:rFonts w:hint="eastAsia" w:asciiTheme="minorEastAsia" w:hAnsiTheme="minorEastAsia" w:eastAsiaTheme="minorEastAsia" w:cstheme="minorEastAsia"/>
                <w:color w:val="auto"/>
                <w:sz w:val="24"/>
                <w:szCs w:val="24"/>
                <w:lang w:val="en-US" w:eastAsia="zh-CN"/>
              </w:rPr>
              <w:t>西安高新中学高中部新校区音响会议设备采购项目完善调试报告</w:t>
            </w:r>
            <w:r>
              <w:rPr>
                <w:rFonts w:hint="eastAsia" w:asciiTheme="minorEastAsia" w:hAnsiTheme="minorEastAsia" w:eastAsiaTheme="minorEastAsia" w:cstheme="minorEastAsia"/>
                <w:color w:val="auto"/>
                <w:sz w:val="24"/>
                <w:szCs w:val="24"/>
              </w:rPr>
              <w:t>。</w:t>
            </w:r>
          </w:p>
          <w:p>
            <w:pPr>
              <w:keepNext w:val="0"/>
              <w:keepLines w:val="0"/>
              <w:suppressLineNumbers w:val="0"/>
              <w:spacing w:before="0" w:beforeAutospacing="0" w:after="0" w:afterAutospacing="0" w:line="360" w:lineRule="auto"/>
              <w:ind w:left="0" w:right="0" w:firstLine="480"/>
              <w:jc w:val="left"/>
              <w:rPr>
                <w:rFonts w:hint="eastAsia" w:asciiTheme="minorEastAsia" w:hAnsiTheme="minorEastAsia" w:eastAsiaTheme="minorEastAsia" w:cstheme="minorEastAsia"/>
                <w:sz w:val="24"/>
                <w:szCs w:val="22"/>
                <w:lang w:val="en-US" w:eastAsia="zh-CN"/>
              </w:rPr>
            </w:pP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 w:val="24"/>
                <w:szCs w:val="24"/>
              </w:rPr>
              <w:t>产品和服务的放行</w:t>
            </w:r>
          </w:p>
        </w:tc>
        <w:tc>
          <w:tcPr>
            <w:tcW w:w="960" w:type="dxa"/>
            <w:vAlign w:val="top"/>
          </w:tcPr>
          <w:p>
            <w:pPr>
              <w:keepNext w:val="0"/>
              <w:keepLines w:val="0"/>
              <w:suppressLineNumbers w:val="0"/>
              <w:spacing w:before="0" w:beforeAutospacing="0" w:after="0" w:afterAutospacing="0" w:line="360" w:lineRule="auto"/>
              <w:ind w:left="105"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keepNext w:val="0"/>
              <w:keepLines w:val="0"/>
              <w:suppressLineNumbers w:val="0"/>
              <w:spacing w:before="0" w:beforeAutospacing="0" w:after="0" w:afterAutospacing="0" w:line="360" w:lineRule="auto"/>
              <w:ind w:left="105" w:leftChars="0" w:right="0"/>
              <w:rPr>
                <w:rFonts w:hint="eastAsia" w:asciiTheme="minorEastAsia" w:hAnsiTheme="minorEastAsia" w:eastAsiaTheme="minorEastAsia" w:cstheme="minorEastAsia"/>
                <w:sz w:val="24"/>
                <w:szCs w:val="24"/>
              </w:rPr>
            </w:pPr>
          </w:p>
        </w:tc>
        <w:tc>
          <w:tcPr>
            <w:tcW w:w="10004" w:type="dxa"/>
            <w:vAlign w:val="top"/>
          </w:tcPr>
          <w:p>
            <w:pPr>
              <w:keepNext w:val="0"/>
              <w:keepLines w:val="0"/>
              <w:suppressLineNumbers w:val="0"/>
              <w:tabs>
                <w:tab w:val="left" w:pos="6597"/>
              </w:tabs>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rPr>
              <w:t>检验，</w:t>
            </w:r>
          </w:p>
          <w:p>
            <w:pPr>
              <w:keepNext w:val="0"/>
              <w:keepLines w:val="0"/>
              <w:numPr>
                <w:ilvl w:val="0"/>
                <w:numId w:val="1"/>
              </w:numPr>
              <w:suppressLineNumbers w:val="0"/>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在设计开发的适当阶段安排了评审、验证、确认活动。</w:t>
            </w:r>
          </w:p>
          <w:p>
            <w:pPr>
              <w:keepNext w:val="0"/>
              <w:keepLines w:val="0"/>
              <w:numPr>
                <w:ilvl w:val="0"/>
                <w:numId w:val="1"/>
              </w:numPr>
              <w:suppressLineNumbers w:val="0"/>
              <w:spacing w:before="0" w:beforeAutospacing="0" w:after="0" w:afterAutospacing="0" w:line="360" w:lineRule="auto"/>
              <w:ind w:left="0" w:right="-6" w:rightChars="-3"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在技术咨询服务、安装调试的适当阶段安排了相关审核、批准环节</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6" w:rightChars="-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w:t>
            </w:r>
            <w:r>
              <w:rPr>
                <w:rFonts w:hint="eastAsia" w:asciiTheme="minorEastAsia" w:hAnsiTheme="minorEastAsia" w:eastAsiaTheme="minorEastAsia" w:cstheme="minorEastAsia"/>
                <w:sz w:val="24"/>
                <w:szCs w:val="24"/>
                <w:lang w:val="en-US" w:eastAsia="zh-CN"/>
              </w:rPr>
              <w:t>最终验收</w:t>
            </w:r>
            <w:r>
              <w:rPr>
                <w:rFonts w:hint="eastAsia" w:asciiTheme="minorEastAsia" w:hAnsiTheme="minorEastAsia" w:eastAsiaTheme="minorEastAsia" w:cstheme="minorEastAsia"/>
                <w:sz w:val="24"/>
                <w:szCs w:val="24"/>
              </w:rPr>
              <w:t>，</w:t>
            </w:r>
          </w:p>
          <w:p>
            <w:pPr>
              <w:keepNext w:val="0"/>
              <w:keepLines w:val="0"/>
              <w:suppressLineNumbers w:val="0"/>
              <w:spacing w:before="0" w:beforeAutospacing="0" w:after="0" w:afterAutospacing="0" w:line="360" w:lineRule="auto"/>
              <w:ind w:left="0" w:right="-6" w:rightChars="-3"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设计图纸、</w:t>
            </w:r>
            <w:r>
              <w:rPr>
                <w:rFonts w:hint="eastAsia" w:asciiTheme="minorEastAsia" w:hAnsiTheme="minorEastAsia" w:eastAsiaTheme="minorEastAsia" w:cstheme="minorEastAsia"/>
                <w:sz w:val="24"/>
                <w:szCs w:val="24"/>
                <w:lang w:val="en-US" w:eastAsia="zh-CN"/>
              </w:rPr>
              <w:t>效果图、设计说明</w:t>
            </w:r>
            <w:r>
              <w:rPr>
                <w:rFonts w:hint="eastAsia" w:asciiTheme="minorEastAsia" w:hAnsiTheme="minorEastAsia" w:eastAsiaTheme="minorEastAsia" w:cstheme="minorEastAsia"/>
                <w:sz w:val="24"/>
                <w:szCs w:val="24"/>
              </w:rPr>
              <w:t>等设计输出文件均经过技术部经理和总经理审阅批准。</w:t>
            </w:r>
          </w:p>
          <w:p>
            <w:pPr>
              <w:keepNext w:val="0"/>
              <w:keepLines w:val="0"/>
              <w:suppressLineNumbers w:val="0"/>
              <w:spacing w:before="0" w:beforeAutospacing="0" w:after="0" w:afterAutospacing="0" w:line="360" w:lineRule="auto"/>
              <w:ind w:left="0" w:right="-6" w:rightChars="-3"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经验证后的产品</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rPr>
              <w:t>，由技术人员进行相关全套资料的整理，在整理过程中查看内容是否正确，全套资料整理完成后递交技术部经理和总经理进行复核，确认无误后才交付。</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客户验收合格的项目由公司出具报告并备案存档</w:t>
            </w:r>
            <w:r>
              <w:rPr>
                <w:rFonts w:hint="eastAsia" w:asciiTheme="minorEastAsia" w:hAnsiTheme="minorEastAsia" w:eastAsiaTheme="minorEastAsia" w:cstheme="minorEastAsia"/>
                <w:sz w:val="24"/>
                <w:szCs w:val="24"/>
                <w:lang w:val="en-US" w:eastAsia="zh-CN"/>
              </w:rPr>
              <w:t>。</w:t>
            </w:r>
          </w:p>
          <w:p>
            <w:pPr>
              <w:keepNext w:val="0"/>
              <w:keepLines w:val="0"/>
              <w:suppressLineNumbers w:val="0"/>
              <w:tabs>
                <w:tab w:val="left" w:pos="0"/>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公司产品的监视和测量控制基本符合规定要求。</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产品标识和可追朔性</w:t>
            </w:r>
          </w:p>
        </w:tc>
        <w:tc>
          <w:tcPr>
            <w:tcW w:w="960" w:type="dxa"/>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Q8.5.2</w:t>
            </w:r>
          </w:p>
        </w:tc>
        <w:tc>
          <w:tcPr>
            <w:tcW w:w="10004" w:type="dxa"/>
            <w:vAlign w:val="top"/>
          </w:tcPr>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质量</w:t>
            </w:r>
            <w:r>
              <w:rPr>
                <w:rFonts w:hint="eastAsia" w:asciiTheme="minorEastAsia" w:hAnsiTheme="minorEastAsia" w:eastAsiaTheme="minorEastAsia" w:cstheme="minorEastAsia"/>
                <w:sz w:val="24"/>
                <w:szCs w:val="24"/>
              </w:rPr>
              <w:t>手册》中规定公司向顾客提供商品时采取适当措施，确保商品进入经营场所到销售过程中均被明确标识，对产品施加唯一性标识，如批号、编号、日期，并予以登记，保留实现可追溯性所需的记录。</w:t>
            </w:r>
          </w:p>
          <w:p>
            <w:pPr>
              <w:keepNext w:val="0"/>
              <w:keepLines w:val="0"/>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产品通常保留厂家标签、合格证等方式对产品进行标识，产品附有“合格证”有产品名称、型号、日期、质检人员代号等信息，可作为追溯性标识，同时可根据采购合同、销售合同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技术服务合同</w:t>
            </w:r>
            <w:r>
              <w:rPr>
                <w:rFonts w:hint="eastAsia" w:asciiTheme="minorEastAsia" w:hAnsiTheme="minorEastAsia" w:eastAsiaTheme="minorEastAsia" w:cstheme="minorEastAsia"/>
                <w:sz w:val="24"/>
                <w:szCs w:val="24"/>
              </w:rPr>
              <w:t>，入厂检验记录等进行追溯。</w:t>
            </w:r>
          </w:p>
          <w:p>
            <w:pPr>
              <w:keepNext w:val="0"/>
              <w:keepLines w:val="0"/>
              <w:suppressLineNumbers w:val="0"/>
              <w:tabs>
                <w:tab w:val="left" w:pos="6597"/>
              </w:tabs>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经查验标识齐全、清晰、正确，产品标识管理基本符合标准要求，并满足实际需要。</w:t>
            </w:r>
          </w:p>
        </w:tc>
        <w:tc>
          <w:tcPr>
            <w:tcW w:w="158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0"/>
              </w:rPr>
            </w:pPr>
          </w:p>
        </w:tc>
      </w:tr>
    </w:tbl>
    <w:p>
      <w:pPr>
        <w:pStyle w:val="5"/>
        <w:rPr>
          <w:rFonts w:hint="eastAsia"/>
        </w:rPr>
      </w:pPr>
    </w:p>
    <w:p>
      <w:pPr>
        <w:pStyle w:val="5"/>
        <w:rPr>
          <w:rFonts w:hint="eastAsia"/>
        </w:rPr>
      </w:pPr>
      <w:r>
        <w:rPr>
          <w:rFonts w:hint="eastAsia"/>
        </w:rPr>
        <w:t>说明：不符合标注N</w:t>
      </w:r>
      <w:bookmarkStart w:id="2" w:name="_GoBack"/>
      <w:bookmarkEnd w:id="2"/>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349E"/>
    <w:multiLevelType w:val="singleLevel"/>
    <w:tmpl w:val="8C8234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02C35E9"/>
    <w:rsid w:val="008C662D"/>
    <w:rsid w:val="00B03F83"/>
    <w:rsid w:val="00C57A77"/>
    <w:rsid w:val="00DF0EAC"/>
    <w:rsid w:val="00F64645"/>
    <w:rsid w:val="00FA1AF1"/>
    <w:rsid w:val="01064F86"/>
    <w:rsid w:val="01150EF3"/>
    <w:rsid w:val="011647F9"/>
    <w:rsid w:val="012308D5"/>
    <w:rsid w:val="01656A6A"/>
    <w:rsid w:val="017224FF"/>
    <w:rsid w:val="017C2B43"/>
    <w:rsid w:val="01FE22C2"/>
    <w:rsid w:val="0217296C"/>
    <w:rsid w:val="02212C92"/>
    <w:rsid w:val="02A878FA"/>
    <w:rsid w:val="02AB77FA"/>
    <w:rsid w:val="02AD35B5"/>
    <w:rsid w:val="02BD34E1"/>
    <w:rsid w:val="02E40E3C"/>
    <w:rsid w:val="02F01038"/>
    <w:rsid w:val="03784CB1"/>
    <w:rsid w:val="039378B3"/>
    <w:rsid w:val="041A784C"/>
    <w:rsid w:val="044F0F68"/>
    <w:rsid w:val="04646D48"/>
    <w:rsid w:val="04794FCE"/>
    <w:rsid w:val="048A34BE"/>
    <w:rsid w:val="04DB1260"/>
    <w:rsid w:val="05156BD6"/>
    <w:rsid w:val="05532C0A"/>
    <w:rsid w:val="055D4637"/>
    <w:rsid w:val="05945B51"/>
    <w:rsid w:val="05AD114E"/>
    <w:rsid w:val="05B1294D"/>
    <w:rsid w:val="05F029B7"/>
    <w:rsid w:val="06270644"/>
    <w:rsid w:val="062D7335"/>
    <w:rsid w:val="064D7D0A"/>
    <w:rsid w:val="06553C50"/>
    <w:rsid w:val="07055295"/>
    <w:rsid w:val="07400920"/>
    <w:rsid w:val="08B32B55"/>
    <w:rsid w:val="08C82907"/>
    <w:rsid w:val="08E5299A"/>
    <w:rsid w:val="08F4537E"/>
    <w:rsid w:val="09A85CE4"/>
    <w:rsid w:val="09D5537D"/>
    <w:rsid w:val="09E356A1"/>
    <w:rsid w:val="0A7F6F7A"/>
    <w:rsid w:val="0AAC35C5"/>
    <w:rsid w:val="0AF75F5E"/>
    <w:rsid w:val="0AFF004D"/>
    <w:rsid w:val="0B0359A9"/>
    <w:rsid w:val="0B2C43A0"/>
    <w:rsid w:val="0B9C72B1"/>
    <w:rsid w:val="0BA22397"/>
    <w:rsid w:val="0BD217E9"/>
    <w:rsid w:val="0C3E171F"/>
    <w:rsid w:val="0C410FA9"/>
    <w:rsid w:val="0C442F8F"/>
    <w:rsid w:val="0C62668C"/>
    <w:rsid w:val="0C6509A7"/>
    <w:rsid w:val="0C9C485E"/>
    <w:rsid w:val="0CC479DF"/>
    <w:rsid w:val="0CF52948"/>
    <w:rsid w:val="0CFE6451"/>
    <w:rsid w:val="0D540B08"/>
    <w:rsid w:val="0E157897"/>
    <w:rsid w:val="0E4B178C"/>
    <w:rsid w:val="0E4C507F"/>
    <w:rsid w:val="0E643B61"/>
    <w:rsid w:val="0F805860"/>
    <w:rsid w:val="0F872BC2"/>
    <w:rsid w:val="0FA7713A"/>
    <w:rsid w:val="10581755"/>
    <w:rsid w:val="106554D2"/>
    <w:rsid w:val="10672525"/>
    <w:rsid w:val="110F780B"/>
    <w:rsid w:val="114B1966"/>
    <w:rsid w:val="117A709E"/>
    <w:rsid w:val="11ED56F3"/>
    <w:rsid w:val="121559CA"/>
    <w:rsid w:val="125E1E6F"/>
    <w:rsid w:val="12727714"/>
    <w:rsid w:val="128A22C6"/>
    <w:rsid w:val="12904F23"/>
    <w:rsid w:val="12AB46D9"/>
    <w:rsid w:val="143A371A"/>
    <w:rsid w:val="143B6641"/>
    <w:rsid w:val="14617C65"/>
    <w:rsid w:val="14735C84"/>
    <w:rsid w:val="15330425"/>
    <w:rsid w:val="15996898"/>
    <w:rsid w:val="15DF06A2"/>
    <w:rsid w:val="15F778EA"/>
    <w:rsid w:val="16756742"/>
    <w:rsid w:val="167C1D5F"/>
    <w:rsid w:val="167D03E4"/>
    <w:rsid w:val="16D80FB8"/>
    <w:rsid w:val="172E4260"/>
    <w:rsid w:val="175B57DA"/>
    <w:rsid w:val="1782536F"/>
    <w:rsid w:val="17DE6061"/>
    <w:rsid w:val="17E267D0"/>
    <w:rsid w:val="17E53E3D"/>
    <w:rsid w:val="181E7584"/>
    <w:rsid w:val="18B0205D"/>
    <w:rsid w:val="18B11E15"/>
    <w:rsid w:val="18E27527"/>
    <w:rsid w:val="18F56F1F"/>
    <w:rsid w:val="19000488"/>
    <w:rsid w:val="19664B25"/>
    <w:rsid w:val="1A5E62EF"/>
    <w:rsid w:val="1A74667E"/>
    <w:rsid w:val="1AE1297D"/>
    <w:rsid w:val="1BB94BB4"/>
    <w:rsid w:val="1C4E5576"/>
    <w:rsid w:val="1C667031"/>
    <w:rsid w:val="1C7F3E78"/>
    <w:rsid w:val="1C990A33"/>
    <w:rsid w:val="1CE802AE"/>
    <w:rsid w:val="1D474298"/>
    <w:rsid w:val="1D7B40A7"/>
    <w:rsid w:val="1E4D237F"/>
    <w:rsid w:val="1E5C5B1A"/>
    <w:rsid w:val="1E603584"/>
    <w:rsid w:val="1E7B1BF8"/>
    <w:rsid w:val="1E8C3D8B"/>
    <w:rsid w:val="1E9B03A4"/>
    <w:rsid w:val="1EE1376D"/>
    <w:rsid w:val="1EE5332D"/>
    <w:rsid w:val="1F7B3C30"/>
    <w:rsid w:val="1F8A3B16"/>
    <w:rsid w:val="1FB734E6"/>
    <w:rsid w:val="1FC66CAF"/>
    <w:rsid w:val="1FCE5BEC"/>
    <w:rsid w:val="1FDF7C8E"/>
    <w:rsid w:val="1FF96882"/>
    <w:rsid w:val="203F187A"/>
    <w:rsid w:val="21054632"/>
    <w:rsid w:val="213E18E7"/>
    <w:rsid w:val="215E2431"/>
    <w:rsid w:val="21663AEF"/>
    <w:rsid w:val="217F0477"/>
    <w:rsid w:val="22207A4B"/>
    <w:rsid w:val="22873196"/>
    <w:rsid w:val="22C464B5"/>
    <w:rsid w:val="230D0BB8"/>
    <w:rsid w:val="23BC5D13"/>
    <w:rsid w:val="24535F51"/>
    <w:rsid w:val="2489415D"/>
    <w:rsid w:val="24CF7909"/>
    <w:rsid w:val="24FF0A8A"/>
    <w:rsid w:val="25B80390"/>
    <w:rsid w:val="25F021EB"/>
    <w:rsid w:val="25F9609A"/>
    <w:rsid w:val="261749A4"/>
    <w:rsid w:val="268D67A0"/>
    <w:rsid w:val="27800D17"/>
    <w:rsid w:val="27891BCA"/>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E166751"/>
    <w:rsid w:val="2E90370E"/>
    <w:rsid w:val="2EE13B7A"/>
    <w:rsid w:val="2EFB5F53"/>
    <w:rsid w:val="2F2E0ABE"/>
    <w:rsid w:val="2F586EE5"/>
    <w:rsid w:val="2F8A25CF"/>
    <w:rsid w:val="2FA46031"/>
    <w:rsid w:val="2FAC2506"/>
    <w:rsid w:val="2FAF3005"/>
    <w:rsid w:val="2FD86881"/>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8246375"/>
    <w:rsid w:val="382A1498"/>
    <w:rsid w:val="382F4D24"/>
    <w:rsid w:val="389B62D3"/>
    <w:rsid w:val="391D0CBF"/>
    <w:rsid w:val="39AB3B94"/>
    <w:rsid w:val="3A313D69"/>
    <w:rsid w:val="3A626C76"/>
    <w:rsid w:val="3AC839A8"/>
    <w:rsid w:val="3B001218"/>
    <w:rsid w:val="3C0A1726"/>
    <w:rsid w:val="3C2E5685"/>
    <w:rsid w:val="3C727309"/>
    <w:rsid w:val="3C871974"/>
    <w:rsid w:val="3C8E0A65"/>
    <w:rsid w:val="3C9F506B"/>
    <w:rsid w:val="3CA97DB1"/>
    <w:rsid w:val="3CBA7935"/>
    <w:rsid w:val="3D063022"/>
    <w:rsid w:val="3D287B17"/>
    <w:rsid w:val="3D540D21"/>
    <w:rsid w:val="3D691DF0"/>
    <w:rsid w:val="3DB12432"/>
    <w:rsid w:val="3DBD3BA8"/>
    <w:rsid w:val="3DFA2594"/>
    <w:rsid w:val="3E034071"/>
    <w:rsid w:val="3E151DCC"/>
    <w:rsid w:val="3E9D0F05"/>
    <w:rsid w:val="3ED52E59"/>
    <w:rsid w:val="3F612A86"/>
    <w:rsid w:val="3FCB31FB"/>
    <w:rsid w:val="3FFB6CAC"/>
    <w:rsid w:val="40302074"/>
    <w:rsid w:val="403C5E30"/>
    <w:rsid w:val="407E3620"/>
    <w:rsid w:val="40BD327A"/>
    <w:rsid w:val="40D65B86"/>
    <w:rsid w:val="40F0023B"/>
    <w:rsid w:val="411359B5"/>
    <w:rsid w:val="41415932"/>
    <w:rsid w:val="41DC4420"/>
    <w:rsid w:val="41F12EC2"/>
    <w:rsid w:val="41FC626F"/>
    <w:rsid w:val="420815AC"/>
    <w:rsid w:val="422674A1"/>
    <w:rsid w:val="423B09AF"/>
    <w:rsid w:val="42E67653"/>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D8349A"/>
    <w:rsid w:val="4A1527E2"/>
    <w:rsid w:val="4A2D6242"/>
    <w:rsid w:val="4A9E092F"/>
    <w:rsid w:val="4AA74B10"/>
    <w:rsid w:val="4B2559CC"/>
    <w:rsid w:val="4B3E0B9D"/>
    <w:rsid w:val="4BC8441C"/>
    <w:rsid w:val="4BF31933"/>
    <w:rsid w:val="4C2D3B21"/>
    <w:rsid w:val="4C7A554B"/>
    <w:rsid w:val="4C7B60DD"/>
    <w:rsid w:val="4D09549B"/>
    <w:rsid w:val="4D1050C7"/>
    <w:rsid w:val="4D140660"/>
    <w:rsid w:val="4D2C3300"/>
    <w:rsid w:val="4D441B5E"/>
    <w:rsid w:val="4DCB2869"/>
    <w:rsid w:val="4DE12C08"/>
    <w:rsid w:val="4E184196"/>
    <w:rsid w:val="4E4E7007"/>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7080FDB"/>
    <w:rsid w:val="572046DA"/>
    <w:rsid w:val="57295B16"/>
    <w:rsid w:val="57376E7F"/>
    <w:rsid w:val="57467EA2"/>
    <w:rsid w:val="574F2AF4"/>
    <w:rsid w:val="5754076E"/>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A44655"/>
    <w:rsid w:val="5CAB5822"/>
    <w:rsid w:val="5CB84D41"/>
    <w:rsid w:val="5CDD1B20"/>
    <w:rsid w:val="5D1A538E"/>
    <w:rsid w:val="5D1F3F7C"/>
    <w:rsid w:val="5D3341F7"/>
    <w:rsid w:val="5D7502E0"/>
    <w:rsid w:val="5D8605B2"/>
    <w:rsid w:val="5D9A73BE"/>
    <w:rsid w:val="5E3F0F7A"/>
    <w:rsid w:val="5E491909"/>
    <w:rsid w:val="5E8158E5"/>
    <w:rsid w:val="5F06104F"/>
    <w:rsid w:val="5F1654F8"/>
    <w:rsid w:val="5F982084"/>
    <w:rsid w:val="5FDA170A"/>
    <w:rsid w:val="5FF42977"/>
    <w:rsid w:val="602709A1"/>
    <w:rsid w:val="60B00E1E"/>
    <w:rsid w:val="60CC1328"/>
    <w:rsid w:val="60D55CF6"/>
    <w:rsid w:val="61B408A3"/>
    <w:rsid w:val="61B643FC"/>
    <w:rsid w:val="6228361E"/>
    <w:rsid w:val="62657CD2"/>
    <w:rsid w:val="631E16AD"/>
    <w:rsid w:val="633650EE"/>
    <w:rsid w:val="63A55278"/>
    <w:rsid w:val="643E5829"/>
    <w:rsid w:val="64794093"/>
    <w:rsid w:val="64EC2F7E"/>
    <w:rsid w:val="65215227"/>
    <w:rsid w:val="652F30CD"/>
    <w:rsid w:val="653B4810"/>
    <w:rsid w:val="655662BC"/>
    <w:rsid w:val="65982E26"/>
    <w:rsid w:val="659F30BB"/>
    <w:rsid w:val="65B25F63"/>
    <w:rsid w:val="65D0543F"/>
    <w:rsid w:val="66B30AF7"/>
    <w:rsid w:val="67103A3A"/>
    <w:rsid w:val="673B2DC5"/>
    <w:rsid w:val="67C6461E"/>
    <w:rsid w:val="68276301"/>
    <w:rsid w:val="683C09FE"/>
    <w:rsid w:val="692D6E48"/>
    <w:rsid w:val="695741FE"/>
    <w:rsid w:val="697D69BD"/>
    <w:rsid w:val="6A4F6773"/>
    <w:rsid w:val="6A635E12"/>
    <w:rsid w:val="6A956138"/>
    <w:rsid w:val="6AF672B5"/>
    <w:rsid w:val="6AFB2694"/>
    <w:rsid w:val="6B26178E"/>
    <w:rsid w:val="6B512ED7"/>
    <w:rsid w:val="6BDF65FE"/>
    <w:rsid w:val="6C136439"/>
    <w:rsid w:val="6CD333CF"/>
    <w:rsid w:val="6D365D55"/>
    <w:rsid w:val="6D555856"/>
    <w:rsid w:val="6D756370"/>
    <w:rsid w:val="6D871FF6"/>
    <w:rsid w:val="6D887920"/>
    <w:rsid w:val="6E066919"/>
    <w:rsid w:val="6E2C6D75"/>
    <w:rsid w:val="6E564D5F"/>
    <w:rsid w:val="6E7D320D"/>
    <w:rsid w:val="6EAE1D3D"/>
    <w:rsid w:val="6EC860BA"/>
    <w:rsid w:val="6ED22398"/>
    <w:rsid w:val="6EF0143C"/>
    <w:rsid w:val="6EFA58B4"/>
    <w:rsid w:val="6F8B6D6B"/>
    <w:rsid w:val="6F8D311E"/>
    <w:rsid w:val="6F8F5DE6"/>
    <w:rsid w:val="6FAE04BE"/>
    <w:rsid w:val="6FB0350B"/>
    <w:rsid w:val="6FE570D5"/>
    <w:rsid w:val="6FE87070"/>
    <w:rsid w:val="71712BD0"/>
    <w:rsid w:val="717234BF"/>
    <w:rsid w:val="71876EA4"/>
    <w:rsid w:val="71C5439E"/>
    <w:rsid w:val="71C91945"/>
    <w:rsid w:val="71E24820"/>
    <w:rsid w:val="71E7316F"/>
    <w:rsid w:val="71F11746"/>
    <w:rsid w:val="720E001E"/>
    <w:rsid w:val="7224702C"/>
    <w:rsid w:val="72A756E5"/>
    <w:rsid w:val="734E194A"/>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6B57603"/>
    <w:rsid w:val="77303BE0"/>
    <w:rsid w:val="77AB288A"/>
    <w:rsid w:val="77BB3133"/>
    <w:rsid w:val="781366EA"/>
    <w:rsid w:val="788C7353"/>
    <w:rsid w:val="78945EF8"/>
    <w:rsid w:val="78D32AB4"/>
    <w:rsid w:val="79654C74"/>
    <w:rsid w:val="79877D19"/>
    <w:rsid w:val="799936AA"/>
    <w:rsid w:val="79A0722B"/>
    <w:rsid w:val="7A301652"/>
    <w:rsid w:val="7A3D0850"/>
    <w:rsid w:val="7A457196"/>
    <w:rsid w:val="7A4607A6"/>
    <w:rsid w:val="7A723BEE"/>
    <w:rsid w:val="7B0F44C9"/>
    <w:rsid w:val="7B262802"/>
    <w:rsid w:val="7B2C0070"/>
    <w:rsid w:val="7B79487F"/>
    <w:rsid w:val="7BB62FD7"/>
    <w:rsid w:val="7BB875AB"/>
    <w:rsid w:val="7BE96F8D"/>
    <w:rsid w:val="7C1D3726"/>
    <w:rsid w:val="7C612DF3"/>
    <w:rsid w:val="7CA37EBB"/>
    <w:rsid w:val="7CB94C8E"/>
    <w:rsid w:val="7D8C0F5A"/>
    <w:rsid w:val="7DCD66F0"/>
    <w:rsid w:val="7DE31F95"/>
    <w:rsid w:val="7E690155"/>
    <w:rsid w:val="7EAB2850"/>
    <w:rsid w:val="7ED14FA3"/>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13</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2020-11-27T03:29:43Z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