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CN" w:eastAsia="zh-CN"/>
        </w:rPr>
        <w:t>机动车尾气遥感检测仪含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NO量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JB/T11996 《机动车尾气遥测设备通用技术要求》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ascii="宋体" w:hAnsi="宋体" w:cs="宋体"/>
          <w:kern w:val="0"/>
          <w:szCs w:val="21"/>
          <w:lang w:val="zh-CN" w:eastAsia="zh-CN"/>
        </w:rPr>
        <w:t>遥感检测仪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10000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25" o:spt="75" type="#_x0000_t75" style="height:16pt;width:2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:333</w:t>
      </w:r>
      <w:r>
        <w:rPr>
          <w:rFonts w:hint="eastAsia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26" o:spt="75" type="#_x0000_t75" style="height:16pt;width:2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0-9000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27" o:spt="75" type="#_x0000_t75" style="height:16pt;width:2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highlight w:val="none"/>
          <w:lang w:val="en-US"/>
        </w:rPr>
      </w:pPr>
      <w:r>
        <w:rPr>
          <w:rFonts w:hint="eastAsia" w:cs="Times New Roman"/>
          <w:color w:val="000000"/>
          <w:sz w:val="24"/>
          <w:szCs w:val="24"/>
          <w:highlight w:val="none"/>
          <w:lang w:val="en-US" w:eastAsia="zh-CN"/>
        </w:rPr>
        <w:t>1.5、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  <w:t>测量过程：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首先确保机动车尾气遥感检测设备工作状态正常，信号指示灯正常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确保红外激光、紫外激光、绿色激光光强均为80lux以上，通过示波器查看输出波形正常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NO量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NO量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输入光谱信号</w:t>
      </w:r>
      <w:r>
        <w:rPr>
          <w:rFonts w:hint="default" w:ascii="Times New Roman" w:hAnsi="Times New Roman" w:eastAsia="宋体" w:cs="Times New Roman"/>
          <w:sz w:val="24"/>
          <w:szCs w:val="24"/>
        </w:rPr>
        <w:t>正常</w:t>
      </w:r>
      <w:r>
        <w:rPr>
          <w:rFonts w:hint="eastAsia" w:cs="Times New Roman"/>
          <w:sz w:val="24"/>
          <w:szCs w:val="24"/>
          <w:lang w:eastAsia="zh-CN"/>
        </w:rPr>
        <w:t>情况下，光谱曲线符合标准时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(NO)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28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9">
                  <o:LockedField>false</o:LockedField>
                </o:OLEObject>
              </w:objec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1419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1451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1572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1489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1462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1528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1375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1576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9" o:spt="75" type="#_x0000_t75" style="height:42pt;width:166.0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0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0" o:spt="75" type="#_x0000_t75" style="height:43.05pt;width:167.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17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17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3" o:spt="75" type="#_x0000_t75" style="height:31pt;width:81.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7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333</w:t>
      </w:r>
      <w:r>
        <w:rPr>
          <w:rFonts w:hint="eastAsia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34" o:spt="75" type="#_x0000_t75" style="height:16pt;width:2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5" o:spt="75" type="#_x0000_t75" style="height:18pt;width:1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6" o:spt="75" type="#_x0000_t75" style="height:33pt;width:8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2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7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37" DrawAspect="Content" ObjectID="_1468075737" r:id="rId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position w:val="-6"/>
                <w:sz w:val="21"/>
                <w:szCs w:val="21"/>
                <w:lang w:val="en-US" w:eastAsia="zh-CN"/>
              </w:rPr>
              <w:t>192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8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38" DrawAspect="Content" ObjectID="_1468075738" r:id="rId2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9" o:spt="75" type="#_x0000_t75" style="height:21.8pt;width:206.6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6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208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4.2</w:t>
      </w:r>
      <w:r>
        <w:rPr>
          <w:rFonts w:hint="eastAsia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40" o:spt="75" type="#_x0000_t75" style="height:16pt;width:2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2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tabs>
          <w:tab w:val="left" w:pos="3576"/>
        </w:tabs>
        <w:adjustRightIn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4.2</w:t>
      </w:r>
      <w:r>
        <w:rPr>
          <w:rFonts w:hint="eastAsia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41" o:spt="75" type="#_x0000_t75" style="height:16pt;width:29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3E06337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0E434C08"/>
    <w:rsid w:val="0FD170F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94F6102"/>
    <w:rsid w:val="1A4B39BB"/>
    <w:rsid w:val="1A653E1C"/>
    <w:rsid w:val="1B305B37"/>
    <w:rsid w:val="1B9D388C"/>
    <w:rsid w:val="1BBD47AF"/>
    <w:rsid w:val="1C0A14F8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8D94680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7155B9"/>
    <w:rsid w:val="2FE72CCC"/>
    <w:rsid w:val="30461732"/>
    <w:rsid w:val="30C42F61"/>
    <w:rsid w:val="30C51CE1"/>
    <w:rsid w:val="31FD0598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1808FA"/>
    <w:rsid w:val="373A5911"/>
    <w:rsid w:val="38B22018"/>
    <w:rsid w:val="38B31447"/>
    <w:rsid w:val="38B72B67"/>
    <w:rsid w:val="39A35F89"/>
    <w:rsid w:val="3A5F7CB0"/>
    <w:rsid w:val="3AC43AD0"/>
    <w:rsid w:val="3B3B6DF8"/>
    <w:rsid w:val="3C514399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A63F5A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131F5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5DC7CF2"/>
    <w:rsid w:val="76782D4F"/>
    <w:rsid w:val="76855E84"/>
    <w:rsid w:val="772F7EBB"/>
    <w:rsid w:val="7869696E"/>
    <w:rsid w:val="78E1576B"/>
    <w:rsid w:val="7AB02F7C"/>
    <w:rsid w:val="7ABC47A1"/>
    <w:rsid w:val="7B835F53"/>
    <w:rsid w:val="7C7103F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0.wmf"/><Relationship Id="rId30" Type="http://schemas.openxmlformats.org/officeDocument/2006/relationships/oleObject" Target="embeddings/oleObject17.bin"/><Relationship Id="rId3" Type="http://schemas.openxmlformats.org/officeDocument/2006/relationships/footer" Target="foot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16.bin"/><Relationship Id="rId27" Type="http://schemas.openxmlformats.org/officeDocument/2006/relationships/image" Target="media/image8.wmf"/><Relationship Id="rId26" Type="http://schemas.openxmlformats.org/officeDocument/2006/relationships/oleObject" Target="embeddings/oleObject15.bin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image" Target="media/image7.wmf"/><Relationship Id="rId22" Type="http://schemas.openxmlformats.org/officeDocument/2006/relationships/oleObject" Target="embeddings/oleObject12.bin"/><Relationship Id="rId21" Type="http://schemas.openxmlformats.org/officeDocument/2006/relationships/image" Target="media/image6.wmf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image" Target="media/image5.wmf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image" Target="media/image4.wmf"/><Relationship Id="rId14" Type="http://schemas.openxmlformats.org/officeDocument/2006/relationships/oleObject" Target="embeddings/oleObject7.bin"/><Relationship Id="rId13" Type="http://schemas.openxmlformats.org/officeDocument/2006/relationships/image" Target="media/image3.wmf"/><Relationship Id="rId12" Type="http://schemas.openxmlformats.org/officeDocument/2006/relationships/oleObject" Target="embeddings/oleObject6.bin"/><Relationship Id="rId11" Type="http://schemas.openxmlformats.org/officeDocument/2006/relationships/image" Target="media/image2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2020-11-23T03:27:11Z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