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93"/>
        <w:gridCol w:w="123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四川世达金辉矿业有限公司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Q：29.11.01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93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Q：29.11.01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煤炭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销售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流程：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市场拓展——合同评审——合同签订——采购——运输——交付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---售后服务。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 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确认过程：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cs="宋体"/>
                <w:sz w:val="21"/>
                <w:szCs w:val="21"/>
              </w:rPr>
              <w:t>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，也是关键过程。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销售过程采取销售服务规范控制，针对运输交付风险产生的风险：产品运输过程中的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煤炭抛洒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或交通事故造成的环境污染或人身伤害。通过管理方案和预案进行控制。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潜在火灾、固废排放，采取分类收集、管理方案和预案措施管理。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火灾，触电</w:t>
            </w:r>
            <w:r>
              <w:rPr>
                <w:rFonts w:hint="eastAsia"/>
                <w:sz w:val="20"/>
                <w:lang w:eastAsia="zh-CN"/>
              </w:rPr>
              <w:t>、车辆伤害（交通</w:t>
            </w:r>
            <w:r>
              <w:rPr>
                <w:rFonts w:hint="eastAsia"/>
                <w:sz w:val="20"/>
              </w:rPr>
              <w:t>事故</w:t>
            </w:r>
            <w:r>
              <w:rPr>
                <w:rFonts w:hint="eastAsia"/>
                <w:sz w:val="20"/>
                <w:lang w:eastAsia="zh-CN"/>
              </w:rPr>
              <w:t>）</w:t>
            </w:r>
            <w:r>
              <w:rPr>
                <w:rFonts w:hint="eastAsia"/>
                <w:sz w:val="20"/>
              </w:rPr>
              <w:t>采取制定管理方案控制，火灾、触电事故采取应急预案并演练方式进行控制。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中华人民共和国劳动合同法、中华人民共和国产品质量法、中华人民共和国计量法、中华人民共和国消费者权益保护法、欺诈消费者行为处罚办法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、煤中全水分的测定方法</w:t>
            </w:r>
            <w:r>
              <w:rPr>
                <w:rFonts w:hint="default" w:ascii="宋体" w:hAnsi="宋体"/>
                <w:sz w:val="21"/>
                <w:szCs w:val="21"/>
              </w:rPr>
              <w:t xml:space="preserve">GB/T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211-2017、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煤的工业分析方法</w:t>
            </w:r>
            <w:r>
              <w:rPr>
                <w:rFonts w:hint="default" w:ascii="宋体" w:hAnsi="宋体"/>
                <w:sz w:val="21"/>
                <w:szCs w:val="21"/>
              </w:rPr>
              <w:t xml:space="preserve">GB/T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212-2008、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煤的发热量测定方法</w:t>
            </w:r>
            <w:r>
              <w:rPr>
                <w:rFonts w:hint="default" w:ascii="宋体" w:hAnsi="宋体"/>
                <w:sz w:val="21"/>
                <w:szCs w:val="21"/>
              </w:rPr>
              <w:t xml:space="preserve">GB/T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213-2008、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煤中全硫的测定方法</w:t>
            </w:r>
            <w:r>
              <w:rPr>
                <w:rFonts w:hint="default" w:ascii="宋体" w:hAnsi="宋体"/>
                <w:sz w:val="21"/>
                <w:szCs w:val="21"/>
              </w:rPr>
              <w:t xml:space="preserve">GB/T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214-2007、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煤灰熔融性的测定方法</w:t>
            </w:r>
            <w:r>
              <w:rPr>
                <w:rFonts w:hint="default" w:ascii="宋体" w:hAnsi="宋体"/>
                <w:sz w:val="21"/>
                <w:szCs w:val="21"/>
              </w:rPr>
              <w:t xml:space="preserve">GB/T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219-2008、商品煤样采取方法</w:t>
            </w:r>
            <w:r>
              <w:rPr>
                <w:rFonts w:hint="default" w:ascii="宋体" w:hAnsi="宋体"/>
                <w:sz w:val="21"/>
                <w:szCs w:val="21"/>
              </w:rPr>
              <w:t xml:space="preserve">GB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475-2008、</w:t>
            </w:r>
            <w:r>
              <w:rPr>
                <w:rFonts w:hint="eastAsia" w:ascii="宋体" w:hAnsi="宋体"/>
                <w:sz w:val="21"/>
                <w:szCs w:val="21"/>
              </w:rPr>
              <w:t>煤灰成分分析方法</w:t>
            </w:r>
            <w:r>
              <w:rPr>
                <w:rFonts w:hint="default" w:ascii="宋体" w:hAnsi="宋体"/>
                <w:sz w:val="21"/>
                <w:szCs w:val="21"/>
              </w:rPr>
              <w:t xml:space="preserve">GB/T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1574-2007等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烟煤指标：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热值26兆焦，灰份19％，水份9％，硫1％，挥发份26。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无烟煤指标：热值23.5兆焦，灰份23％，水份9％，硫3％，挥发份10％。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4257040</wp:posOffset>
            </wp:positionH>
            <wp:positionV relativeFrom="paragraph">
              <wp:posOffset>68580</wp:posOffset>
            </wp:positionV>
            <wp:extent cx="684530" cy="428625"/>
            <wp:effectExtent l="0" t="0" r="1270" b="13335"/>
            <wp:wrapNone/>
            <wp:docPr id="4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5" w:name="_GoBack"/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1228090</wp:posOffset>
            </wp:positionH>
            <wp:positionV relativeFrom="paragraph">
              <wp:posOffset>105410</wp:posOffset>
            </wp:positionV>
            <wp:extent cx="684530" cy="428625"/>
            <wp:effectExtent l="0" t="0" r="1270" b="1333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5"/>
    </w:p>
    <w:p>
      <w:pPr>
        <w:snapToGrid w:val="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2020.11.22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 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2020.11.22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</w:t>
      </w:r>
    </w:p>
    <w:p>
      <w:pPr>
        <w:snapToGrid w:val="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/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B7900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2020-11-19T06:05:43Z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