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right"/>
        <w:rPr>
          <w:rFonts w:hint="eastAsia" w:ascii="楷体" w:hAnsi="楷体" w:eastAsia="楷体"/>
          <w:b/>
          <w:color w:val="000000" w:themeColor="text1"/>
          <w:sz w:val="28"/>
          <w:szCs w:val="28"/>
          <w:lang w:eastAsia="zh-CN"/>
        </w:rPr>
      </w:pPr>
      <w:r>
        <w:rPr>
          <w:rFonts w:hint="eastAsia" w:ascii="楷体" w:hAnsi="楷体" w:eastAsia="楷体"/>
          <w:color w:val="000000"/>
          <w:sz w:val="28"/>
          <w:szCs w:val="28"/>
        </w:rPr>
        <w:t>合同编号：</w:t>
      </w:r>
      <w:r>
        <w:rPr>
          <w:rFonts w:hint="eastAsia" w:eastAsia="楷体" w:cs="Times New Roman"/>
          <w:b w:val="0"/>
          <w:bCs w:val="0"/>
          <w:color w:val="000000"/>
          <w:sz w:val="21"/>
          <w:szCs w:val="21"/>
          <w:lang w:eastAsia="zh-CN"/>
        </w:rPr>
        <w:t>0</w:t>
      </w:r>
      <w:r>
        <w:rPr>
          <w:rFonts w:hint="eastAsia" w:eastAsia="楷体" w:cs="Times New Roman"/>
          <w:b w:val="0"/>
          <w:bCs w:val="0"/>
          <w:color w:val="000000"/>
          <w:sz w:val="21"/>
          <w:szCs w:val="21"/>
          <w:lang w:val="en-US" w:eastAsia="zh-CN"/>
        </w:rPr>
        <w:t>638</w:t>
      </w:r>
      <w:r>
        <w:rPr>
          <w:rFonts w:hint="eastAsia" w:eastAsia="楷体" w:cs="Times New Roman"/>
          <w:b w:val="0"/>
          <w:bCs w:val="0"/>
          <w:color w:val="000000"/>
          <w:sz w:val="21"/>
          <w:szCs w:val="21"/>
          <w:lang w:eastAsia="zh-CN"/>
        </w:rPr>
        <w:t>-2020-E</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anchor distT="0" distB="0" distL="0" distR="0" simplePos="0" relativeHeight="251661312" behindDoc="0" locked="0" layoutInCell="1" allowOverlap="1">
            <wp:simplePos x="0" y="0"/>
            <wp:positionH relativeFrom="column">
              <wp:posOffset>1703070</wp:posOffset>
            </wp:positionH>
            <wp:positionV relativeFrom="paragraph">
              <wp:posOffset>0</wp:posOffset>
            </wp:positionV>
            <wp:extent cx="1887220" cy="1887220"/>
            <wp:effectExtent l="19050" t="0" r="0" b="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anchor>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楷体" w:hAnsi="楷体" w:eastAsia="楷体"/>
          <w:b/>
          <w:color w:val="000000" w:themeColor="text1"/>
          <w:sz w:val="32"/>
          <w:szCs w:val="32"/>
          <w:u w:val="single"/>
          <w:lang w:eastAsia="zh-CN"/>
        </w:rPr>
        <w:t>安平县瑞奥金属制品有限公司</w:t>
      </w:r>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0" w:name="Q勾选"/>
      <w:r>
        <w:rPr>
          <w:rFonts w:hint="eastAsia" w:ascii="楷体" w:hAnsi="楷体" w:eastAsia="楷体"/>
          <w:b/>
          <w:color w:val="000000" w:themeColor="text1"/>
          <w:sz w:val="32"/>
          <w:szCs w:val="32"/>
        </w:rPr>
        <w:t>□</w:t>
      </w:r>
      <w:bookmarkEnd w:id="0"/>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1" w:name="E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2" w:name="S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50"/>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7"/>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5"/>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50"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8"/>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2"/>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吉洁</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2"/>
            <w:vAlign w:val="center"/>
          </w:tcPr>
          <w:p>
            <w:pPr>
              <w:spacing w:line="240" w:lineRule="exact"/>
              <w:jc w:val="center"/>
              <w:rPr>
                <w:b/>
                <w:color w:val="000000" w:themeColor="text1"/>
                <w:sz w:val="20"/>
                <w:szCs w:val="20"/>
              </w:rPr>
            </w:pPr>
            <w:r>
              <w:rPr>
                <w:rFonts w:hint="eastAsia"/>
                <w:b/>
                <w:color w:val="000000"/>
                <w:sz w:val="20"/>
                <w:szCs w:val="20"/>
              </w:rPr>
              <w:t>2020-N1EMS-3022240</w:t>
            </w:r>
          </w:p>
        </w:tc>
        <w:tc>
          <w:tcPr>
            <w:tcW w:w="2333" w:type="dxa"/>
            <w:gridSpan w:val="2"/>
            <w:vAlign w:val="center"/>
          </w:tcPr>
          <w:p>
            <w:pPr>
              <w:spacing w:line="240" w:lineRule="exact"/>
              <w:jc w:val="center"/>
              <w:rPr>
                <w:rFonts w:hint="eastAsia" w:eastAsia="宋体"/>
                <w:b/>
                <w:color w:val="000000" w:themeColor="text1"/>
                <w:sz w:val="20"/>
                <w:szCs w:val="20"/>
                <w:lang w:eastAsia="zh-CN"/>
              </w:rPr>
            </w:pPr>
            <w:r>
              <w:rPr>
                <w:rFonts w:hint="eastAsia"/>
                <w:b/>
                <w:color w:val="000000" w:themeColor="text1"/>
                <w:sz w:val="20"/>
                <w:szCs w:val="20"/>
                <w:lang w:eastAsia="zh-CN"/>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4" w:type="dxa"/>
            <w:gridSpan w:val="2"/>
            <w:vAlign w:val="center"/>
          </w:tcPr>
          <w:p>
            <w:pPr>
              <w:spacing w:line="240" w:lineRule="exact"/>
              <w:jc w:val="center"/>
              <w:rPr>
                <w:rFonts w:hint="eastAsia" w:eastAsia="宋体"/>
                <w:b/>
                <w:color w:val="000000" w:themeColor="text1"/>
                <w:sz w:val="20"/>
                <w:szCs w:val="20"/>
                <w:lang w:val="en-US" w:eastAsia="zh-CN"/>
              </w:rPr>
            </w:pPr>
            <w:r>
              <w:rPr>
                <w:rFonts w:hint="eastAsia"/>
                <w:b/>
                <w:color w:val="000000" w:themeColor="text1"/>
                <w:sz w:val="20"/>
                <w:szCs w:val="20"/>
                <w:lang w:val="en-US" w:eastAsia="zh-CN"/>
              </w:rPr>
              <w:t>张鹏（远程）</w:t>
            </w:r>
          </w:p>
        </w:tc>
        <w:tc>
          <w:tcPr>
            <w:tcW w:w="992" w:type="dxa"/>
            <w:vAlign w:val="center"/>
          </w:tcPr>
          <w:p>
            <w:pPr>
              <w:spacing w:line="240" w:lineRule="exact"/>
              <w:jc w:val="center"/>
              <w:rPr>
                <w:rFonts w:hint="eastAsia" w:eastAsia="宋体"/>
                <w:b/>
                <w:color w:val="000000" w:themeColor="text1"/>
                <w:sz w:val="20"/>
                <w:szCs w:val="20"/>
                <w:lang w:val="en-US" w:eastAsia="zh-CN"/>
              </w:rPr>
            </w:pPr>
            <w:r>
              <w:rPr>
                <w:rFonts w:hint="eastAsia"/>
                <w:b/>
                <w:color w:val="000000" w:themeColor="text1"/>
                <w:sz w:val="20"/>
                <w:szCs w:val="20"/>
                <w:lang w:val="en-US" w:eastAsia="zh-CN"/>
              </w:rPr>
              <w:t>组员</w:t>
            </w:r>
          </w:p>
        </w:tc>
        <w:tc>
          <w:tcPr>
            <w:tcW w:w="1216" w:type="dxa"/>
            <w:vAlign w:val="center"/>
          </w:tcPr>
          <w:p>
            <w:pPr>
              <w:spacing w:line="240" w:lineRule="exact"/>
              <w:jc w:val="center"/>
              <w:rPr>
                <w:rFonts w:hint="default" w:eastAsia="宋体"/>
                <w:b/>
                <w:color w:val="000000" w:themeColor="text1"/>
                <w:sz w:val="20"/>
                <w:szCs w:val="20"/>
                <w:lang w:val="en-US" w:eastAsia="zh-CN"/>
              </w:rPr>
            </w:pPr>
            <w:r>
              <w:rPr>
                <w:rFonts w:hint="eastAsia"/>
                <w:b/>
                <w:color w:val="000000" w:themeColor="text1"/>
                <w:sz w:val="20"/>
                <w:szCs w:val="20"/>
                <w:lang w:val="en-US" w:eastAsia="zh-CN"/>
              </w:rPr>
              <w:t>男</w:t>
            </w:r>
          </w:p>
        </w:tc>
        <w:tc>
          <w:tcPr>
            <w:tcW w:w="3478" w:type="dxa"/>
            <w:gridSpan w:val="2"/>
            <w:vAlign w:val="center"/>
          </w:tcPr>
          <w:p>
            <w:pPr>
              <w:spacing w:line="240" w:lineRule="exact"/>
              <w:jc w:val="center"/>
              <w:rPr>
                <w:rFonts w:hint="eastAsia"/>
                <w:b/>
                <w:color w:val="000000"/>
                <w:sz w:val="20"/>
                <w:szCs w:val="20"/>
              </w:rPr>
            </w:pPr>
            <w:r>
              <w:rPr>
                <w:sz w:val="22"/>
                <w:szCs w:val="22"/>
                <w:highlight w:val="none"/>
              </w:rPr>
              <w:t>2020-N1EMS-1239640</w:t>
            </w:r>
          </w:p>
        </w:tc>
        <w:tc>
          <w:tcPr>
            <w:tcW w:w="2333" w:type="dxa"/>
            <w:gridSpan w:val="2"/>
            <w:vAlign w:val="center"/>
          </w:tcPr>
          <w:p>
            <w:pPr>
              <w:spacing w:line="240" w:lineRule="exact"/>
              <w:jc w:val="center"/>
              <w:rPr>
                <w:rFonts w:hint="eastAsia"/>
                <w:b/>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8"/>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2"/>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color w:val="000000" w:themeColor="text1"/>
                <w:lang w:val="en-US" w:eastAsia="zh-CN"/>
              </w:rPr>
            </w:pPr>
            <w:r>
              <w:rPr>
                <w:rFonts w:hint="eastAsia"/>
                <w:b/>
                <w:color w:val="000000" w:themeColor="text1"/>
                <w:lang w:val="en-US" w:eastAsia="zh-CN"/>
              </w:rPr>
              <w:t>/</w:t>
            </w: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2"/>
            <w:vAlign w:val="center"/>
          </w:tcPr>
          <w:p>
            <w:pPr>
              <w:rPr>
                <w:rFonts w:hint="eastAsia" w:eastAsia="宋体"/>
                <w:b/>
                <w:color w:val="000000" w:themeColor="text1"/>
                <w:lang w:eastAsia="zh-CN"/>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b/>
          <w:color w:val="000000"/>
          <w:sz w:val="20"/>
          <w:szCs w:val="20"/>
          <w:lang w:val="de-DE"/>
        </w:rPr>
      </w:pPr>
      <w:r>
        <w:rPr>
          <w:rFonts w:hint="eastAsia" w:ascii="宋体" w:hAnsi="宋体"/>
          <w:b/>
          <w:color w:val="000000" w:themeColor="text1"/>
          <w:sz w:val="26"/>
          <w:szCs w:val="26"/>
        </w:rPr>
        <w:t>审核准则</w:t>
      </w:r>
    </w:p>
    <w:p>
      <w:pPr>
        <w:spacing w:line="300" w:lineRule="auto"/>
        <w:rPr>
          <w:rFonts w:ascii="宋体"/>
          <w:b/>
          <w:color w:val="000000"/>
          <w:sz w:val="20"/>
          <w:szCs w:val="20"/>
          <w:lang w:val="de-DE"/>
        </w:rPr>
      </w:pPr>
      <w:bookmarkStart w:id="3" w:name="E勾选Add1"/>
      <w:r>
        <w:rPr>
          <w:rFonts w:hint="eastAsia" w:ascii="宋体" w:hAnsi="宋体"/>
          <w:b/>
          <w:color w:val="000000"/>
          <w:sz w:val="20"/>
          <w:szCs w:val="20"/>
          <w:lang w:val="de-DE"/>
        </w:rPr>
        <w:t>■</w:t>
      </w:r>
      <w:bookmarkEnd w:id="3"/>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idt ISO 14001:2015标准</w:t>
      </w:r>
    </w:p>
    <w:p>
      <w:pPr>
        <w:spacing w:line="300" w:lineRule="auto"/>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rPr>
          <w:rFonts w:hint="default" w:ascii="宋体" w:hAnsi="宋体" w:eastAsia="宋体"/>
          <w:b/>
          <w:color w:val="000000" w:themeColor="text1"/>
          <w:spacing w:val="-1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pStyle w:val="10"/>
        <w:numPr>
          <w:ilvl w:val="0"/>
          <w:numId w:val="1"/>
        </w:numPr>
        <w:ind w:left="-142" w:hanging="709" w:firstLineChars="0"/>
        <w:rPr>
          <w:rFonts w:ascii="宋体" w:hAnsi="宋体"/>
          <w:b/>
          <w:color w:val="000000" w:themeColor="text1"/>
          <w:spacing w:val="-10"/>
          <w:sz w:val="20"/>
          <w:szCs w:val="20"/>
        </w:rPr>
      </w:pPr>
      <w:r>
        <w:rPr>
          <w:rFonts w:hint="eastAsia" w:ascii="宋体" w:hAnsi="宋体" w:cs="Times New Roman"/>
          <w:b/>
          <w:color w:val="000000" w:themeColor="text1"/>
          <w:sz w:val="26"/>
          <w:szCs w:val="26"/>
        </w:rPr>
        <w:t>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757"/>
        <w:gridCol w:w="943"/>
        <w:gridCol w:w="704"/>
        <w:gridCol w:w="565"/>
        <w:gridCol w:w="823"/>
        <w:gridCol w:w="311"/>
        <w:gridCol w:w="507"/>
        <w:gridCol w:w="963"/>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792" w:type="dxa"/>
            <w:gridSpan w:val="5"/>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安平县瑞奥金属制品有限公司</w:t>
            </w:r>
          </w:p>
        </w:tc>
        <w:tc>
          <w:tcPr>
            <w:tcW w:w="1781" w:type="dxa"/>
            <w:gridSpan w:val="3"/>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组织人数</w:t>
            </w:r>
          </w:p>
        </w:tc>
        <w:tc>
          <w:tcPr>
            <w:tcW w:w="1384"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4792" w:type="dxa"/>
            <w:gridSpan w:val="5"/>
            <w:vAlign w:val="center"/>
          </w:tcPr>
          <w:p>
            <w:pPr>
              <w:spacing w:line="280" w:lineRule="exact"/>
              <w:jc w:val="both"/>
              <w:rPr>
                <w:rFonts w:hint="default" w:ascii="Times New Roman" w:hAnsi="Times New Roman" w:eastAsia="宋体" w:cs="Times New Roman"/>
                <w:kern w:val="2"/>
                <w:sz w:val="21"/>
                <w:szCs w:val="21"/>
                <w:lang w:val="en-US" w:eastAsia="zh-CN" w:bidi="ar-SA"/>
              </w:rPr>
            </w:pPr>
            <w:r>
              <w:t>安平县程油子乡南二合村村南</w:t>
            </w:r>
          </w:p>
        </w:tc>
        <w:tc>
          <w:tcPr>
            <w:tcW w:w="818" w:type="dxa"/>
            <w:gridSpan w:val="2"/>
            <w:vMerge w:val="restart"/>
            <w:vAlign w:val="center"/>
          </w:tcPr>
          <w:p>
            <w:pPr>
              <w:spacing w:line="280" w:lineRule="exact"/>
              <w:jc w:val="both"/>
              <w:rPr>
                <w:rFonts w:hint="default" w:ascii="Times New Roman" w:hAnsi="Times New Roman" w:cs="Times New Roman"/>
                <w:b/>
                <w:color w:val="000000" w:themeColor="text1"/>
                <w:sz w:val="20"/>
                <w:szCs w:val="20"/>
              </w:rPr>
            </w:pPr>
            <w:r>
              <w:rPr>
                <w:rFonts w:hint="eastAsia"/>
                <w:sz w:val="21"/>
                <w:szCs w:val="21"/>
              </w:rPr>
              <w:t>邮编</w:t>
            </w:r>
          </w:p>
        </w:tc>
        <w:tc>
          <w:tcPr>
            <w:tcW w:w="2347"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b w:val="0"/>
                <w:bCs w:val="0"/>
                <w:sz w:val="21"/>
                <w:szCs w:val="21"/>
                <w:lang w:eastAsia="zh-CN"/>
              </w:rPr>
              <w:t>053600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生产地址</w:t>
            </w:r>
          </w:p>
        </w:tc>
        <w:tc>
          <w:tcPr>
            <w:tcW w:w="4792" w:type="dxa"/>
            <w:gridSpan w:val="5"/>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lang w:eastAsia="zh-CN"/>
              </w:rPr>
              <w:t>安平县经济开发区经四路22号</w:t>
            </w:r>
          </w:p>
        </w:tc>
        <w:tc>
          <w:tcPr>
            <w:tcW w:w="818" w:type="dxa"/>
            <w:gridSpan w:val="2"/>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000000" w:themeColor="text1"/>
                <w:sz w:val="20"/>
                <w:szCs w:val="20"/>
              </w:rPr>
            </w:pPr>
          </w:p>
        </w:tc>
        <w:tc>
          <w:tcPr>
            <w:tcW w:w="2347"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b w:val="0"/>
                <w:bCs w:val="0"/>
                <w:sz w:val="21"/>
                <w:szCs w:val="21"/>
                <w:lang w:eastAsia="zh-CN"/>
              </w:rPr>
              <w:t>053600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757"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王闪</w:t>
            </w:r>
          </w:p>
        </w:tc>
        <w:tc>
          <w:tcPr>
            <w:tcW w:w="1647"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电话</w:t>
            </w:r>
          </w:p>
        </w:tc>
        <w:tc>
          <w:tcPr>
            <w:tcW w:w="1388"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r>
              <w:t>13785890908</w:t>
            </w:r>
          </w:p>
        </w:tc>
        <w:tc>
          <w:tcPr>
            <w:tcW w:w="818"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4" w:name="联系人传真"/>
            <w:bookmarkEnd w:id="4"/>
            <w:r>
              <w:rPr>
                <w:rFonts w:hint="eastAsia"/>
                <w:sz w:val="21"/>
                <w:szCs w:val="21"/>
              </w:rPr>
              <w:t>传真</w:t>
            </w:r>
          </w:p>
        </w:tc>
        <w:tc>
          <w:tcPr>
            <w:tcW w:w="2347"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757"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陆帅</w:t>
            </w:r>
          </w:p>
        </w:tc>
        <w:tc>
          <w:tcPr>
            <w:tcW w:w="1647"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管理者代表</w:t>
            </w:r>
          </w:p>
        </w:tc>
        <w:tc>
          <w:tcPr>
            <w:tcW w:w="1388"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5" w:name="最高管理者"/>
            <w:bookmarkEnd w:id="5"/>
            <w:r>
              <w:rPr>
                <w:rFonts w:hint="eastAsia"/>
                <w:sz w:val="21"/>
                <w:szCs w:val="21"/>
                <w:lang w:val="en-US" w:eastAsia="zh-CN"/>
              </w:rPr>
              <w:t>陆帅</w:t>
            </w:r>
          </w:p>
        </w:tc>
        <w:tc>
          <w:tcPr>
            <w:tcW w:w="818"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邮箱</w:t>
            </w:r>
          </w:p>
        </w:tc>
        <w:tc>
          <w:tcPr>
            <w:tcW w:w="2347" w:type="dxa"/>
            <w:gridSpan w:val="2"/>
            <w:vAlign w:val="center"/>
          </w:tcPr>
          <w:p>
            <w:pPr>
              <w:spacing w:line="280" w:lineRule="exact"/>
              <w:jc w:val="both"/>
              <w:rPr>
                <w:rFonts w:hint="default" w:ascii="Times New Roman" w:hAnsi="Times New Roman" w:eastAsia="宋体" w:cs="Times New Roman"/>
                <w:kern w:val="2"/>
                <w:sz w:val="21"/>
                <w:szCs w:val="21"/>
                <w:lang w:val="en-US" w:eastAsia="zh-CN" w:bidi="ar-SA"/>
              </w:rPr>
            </w:pPr>
            <w:r>
              <w:rPr>
                <w:b w:val="0"/>
                <w:bCs w:val="0"/>
                <w:sz w:val="21"/>
                <w:szCs w:val="21"/>
              </w:rPr>
              <w:t>5738449@qq.com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认证范围</w:t>
            </w:r>
          </w:p>
        </w:tc>
        <w:tc>
          <w:tcPr>
            <w:tcW w:w="7957" w:type="dxa"/>
            <w:gridSpan w:val="9"/>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0"/>
                <w:szCs w:val="20"/>
                <w:u w:val="single"/>
              </w:rPr>
            </w:pPr>
            <w:bookmarkStart w:id="6" w:name="审核范围"/>
            <w:r>
              <w:rPr>
                <w:rFonts w:hint="eastAsia" w:ascii="宋体" w:hAnsi="宋体"/>
                <w:sz w:val="21"/>
                <w:szCs w:val="21"/>
                <w:lang w:val="en-US" w:eastAsia="zh-CN"/>
              </w:rPr>
              <w:t>声屏障、护栏网、防护网、刺绳、石笼网的销售</w:t>
            </w:r>
            <w:r>
              <w:rPr>
                <w:rFonts w:hint="eastAsia" w:ascii="宋体" w:hAnsi="宋体"/>
                <w:sz w:val="21"/>
                <w:szCs w:val="21"/>
              </w:rPr>
              <w:t>及其所涉及场所的相关环境管理活动</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29.12.00</w:t>
            </w:r>
          </w:p>
        </w:tc>
        <w:tc>
          <w:tcPr>
            <w:tcW w:w="1641"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体系实施时间</w:t>
            </w:r>
          </w:p>
        </w:tc>
        <w:tc>
          <w:tcPr>
            <w:tcW w:w="2700"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bookmarkStart w:id="7" w:name="体系运行时间"/>
            <w:bookmarkEnd w:id="7"/>
            <w:r>
              <w:rPr>
                <w:rFonts w:hint="eastAsia" w:ascii="宋体"/>
                <w:b/>
                <w:color w:val="000000"/>
                <w:sz w:val="20"/>
                <w:szCs w:val="20"/>
                <w:lang w:val="en-US" w:eastAsia="zh-CN"/>
              </w:rPr>
              <w:t>2020年1月1日</w:t>
            </w:r>
          </w:p>
        </w:tc>
        <w:tc>
          <w:tcPr>
            <w:tcW w:w="2403" w:type="dxa"/>
            <w:gridSpan w:val="4"/>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p>
        </w:tc>
      </w:tr>
    </w:tbl>
    <w:p>
      <w:pPr>
        <w:ind w:left="-1" w:leftChars="-337" w:hanging="707" w:hangingChars="271"/>
        <w:rPr>
          <w:rFonts w:hint="eastAsia" w:ascii="宋体" w:hAnsi="宋体" w:eastAsia="宋体"/>
          <w:b/>
          <w:color w:val="000000" w:themeColor="text1"/>
          <w:sz w:val="16"/>
          <w:szCs w:val="16"/>
          <w:lang w:eastAsia="zh-CN"/>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管理层</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rPr>
              <w:t>4.1</w:t>
            </w:r>
            <w:r>
              <w:rPr>
                <w:rFonts w:hint="eastAsia"/>
                <w:sz w:val="21"/>
                <w:szCs w:val="21"/>
                <w:lang w:val="en-US" w:eastAsia="zh-CN"/>
              </w:rPr>
              <w:t>/4.2/4.3/4.4/5.1/5.2/5.3/6.1/6.2/7.1/9.1.1/9.3/10.1/10.3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供销部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lang w:val="en-US" w:eastAsia="zh-CN"/>
              </w:rPr>
              <w:t>5.3/6.1.2/6.2/8.1/8.2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办公室</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lang w:val="en-US" w:eastAsia="zh-CN"/>
              </w:rPr>
              <w:t>5.3/7.2/7.3/7.4/7.5/8.2/9.2/6.1.2/6.1.3/6.2/8.1/9.1.2/10.2</w:t>
            </w: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7"/>
        <w:tblW w:w="9919"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1"/>
        <w:gridCol w:w="1536"/>
        <w:gridCol w:w="1349"/>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49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产品名称/</w:t>
            </w: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服务名称</w:t>
            </w:r>
          </w:p>
        </w:tc>
        <w:tc>
          <w:tcPr>
            <w:tcW w:w="153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型号/</w:t>
            </w: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服务类型</w:t>
            </w:r>
          </w:p>
        </w:tc>
        <w:tc>
          <w:tcPr>
            <w:tcW w:w="134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规格</w:t>
            </w:r>
          </w:p>
        </w:tc>
        <w:tc>
          <w:tcPr>
            <w:tcW w:w="354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49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sz w:val="21"/>
                <w:szCs w:val="21"/>
                <w:lang w:val="en-US" w:eastAsia="zh-CN"/>
              </w:rPr>
              <w:t>声屏障、护栏网、防护网、刺绳、石笼网的销售</w:t>
            </w:r>
          </w:p>
        </w:tc>
        <w:tc>
          <w:tcPr>
            <w:tcW w:w="1536"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销售</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w:t>
            </w:r>
          </w:p>
        </w:tc>
        <w:tc>
          <w:tcPr>
            <w:tcW w:w="3543"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客户要求</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8"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8"/>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11</w:t>
      </w:r>
      <w:r>
        <w:rPr>
          <w:rFonts w:hint="eastAsia"/>
          <w:b/>
          <w:color w:val="000000" w:themeColor="text1"/>
          <w:spacing w:val="-10"/>
          <w:szCs w:val="21"/>
        </w:rPr>
        <w:t>月</w:t>
      </w:r>
      <w:r>
        <w:rPr>
          <w:rFonts w:hint="eastAsia"/>
          <w:b/>
          <w:color w:val="000000" w:themeColor="text1"/>
          <w:spacing w:val="-10"/>
          <w:szCs w:val="21"/>
          <w:lang w:val="en-US" w:eastAsia="zh-CN"/>
        </w:rPr>
        <w:t>24</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5"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8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rPr>
              <w:t>公司确定了与</w:t>
            </w:r>
            <w:r>
              <w:rPr>
                <w:rFonts w:hint="eastAsia"/>
                <w:lang w:eastAsia="zh-CN"/>
              </w:rPr>
              <w:t>环境</w:t>
            </w:r>
            <w:r>
              <w:rPr>
                <w:rFonts w:hint="eastAsia"/>
              </w:rPr>
              <w:t>管理体系有关的相关方包括股东、政府机构、顾客、</w:t>
            </w:r>
            <w:r>
              <w:rPr>
                <w:rFonts w:hint="eastAsia"/>
                <w:lang w:val="en-US" w:eastAsia="zh-CN"/>
              </w:rPr>
              <w:t>供方</w:t>
            </w:r>
            <w:r>
              <w:rPr>
                <w:rFonts w:hint="eastAsia"/>
              </w:rPr>
              <w:t>、内部员工等。相关方对企业的要求有：遵守国家的现行法律法规、保持有效的资质、</w:t>
            </w:r>
            <w:r>
              <w:rPr>
                <w:rFonts w:hint="eastAsia"/>
                <w:lang w:val="en-US" w:eastAsia="zh-CN"/>
              </w:rPr>
              <w:t>销售</w:t>
            </w:r>
            <w:r>
              <w:rPr>
                <w:rFonts w:hint="eastAsia"/>
              </w:rPr>
              <w:t>的产品节能环保，对环境无重大污染以及不断提高</w:t>
            </w:r>
            <w:r>
              <w:rPr>
                <w:rFonts w:hint="eastAsia"/>
                <w:lang w:val="en-US" w:eastAsia="zh-CN"/>
              </w:rPr>
              <w:t>相关方</w:t>
            </w:r>
            <w:r>
              <w:rPr>
                <w:rFonts w:hint="eastAsia"/>
              </w:rPr>
              <w:t>满意度等。</w:t>
            </w:r>
            <w:r>
              <w:rPr>
                <w:rFonts w:hint="eastAsia"/>
                <w:lang w:val="en-US" w:eastAsia="zh-CN"/>
              </w:rPr>
              <w:t>公司通过</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val="en-US" w:eastAsia="zh-CN"/>
              </w:rPr>
              <w:t>环境</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pageBreakBefore w:val="0"/>
              <w:kinsoku/>
              <w:wordWrap/>
              <w:overflowPunct/>
              <w:topLinePunct w:val="0"/>
              <w:autoSpaceDE/>
              <w:autoSpaceDN/>
              <w:bidi w:val="0"/>
              <w:adjustRightInd/>
              <w:snapToGrid/>
              <w:spacing w:line="380" w:lineRule="exact"/>
              <w:textAlignment w:val="auto"/>
              <w:rPr>
                <w:rFonts w:hint="default" w:eastAsia="宋体"/>
                <w:lang w:val="en-US" w:eastAsia="zh-CN"/>
              </w:rPr>
            </w:pPr>
            <w:r>
              <w:t>1.</w:t>
            </w:r>
            <w:r>
              <w:rPr>
                <w:rFonts w:hint="eastAsia"/>
                <w:lang w:val="en-US" w:eastAsia="zh-CN"/>
              </w:rPr>
              <w:t xml:space="preserve"> </w:t>
            </w:r>
            <w:r>
              <w:rPr>
                <w:rFonts w:hint="eastAsia" w:cs="宋体"/>
              </w:rPr>
              <w:t>管理方针：</w:t>
            </w:r>
            <w:r>
              <w:rPr>
                <w:rFonts w:hint="eastAsia" w:cs="宋体"/>
                <w:lang w:eastAsia="zh-CN"/>
              </w:rPr>
              <w:t>科学管理，遵守法规，预防污染，持续改进</w:t>
            </w:r>
            <w:r>
              <w:rPr>
                <w:rFonts w:hint="eastAsia" w:cs="宋体"/>
                <w:lang w:val="en-US" w:eastAsia="zh-CN"/>
              </w:rPr>
              <w:t>.</w:t>
            </w:r>
          </w:p>
          <w:p>
            <w:pPr>
              <w:keepNext w:val="0"/>
              <w:keepLines w:val="0"/>
              <w:pageBreakBefore w:val="0"/>
              <w:kinsoku/>
              <w:wordWrap/>
              <w:overflowPunct/>
              <w:topLinePunct w:val="0"/>
              <w:autoSpaceDE/>
              <w:autoSpaceDN/>
              <w:bidi w:val="0"/>
              <w:adjustRightInd/>
              <w:snapToGrid/>
              <w:spacing w:line="38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pacing w:val="-8"/>
                <w:sz w:val="20"/>
                <w:szCs w:val="20"/>
              </w:rPr>
            </w:pPr>
            <w:r>
              <w:rPr>
                <w:rFonts w:hint="eastAsia"/>
                <w:b/>
                <w:color w:val="000000" w:themeColor="text1"/>
                <w:sz w:val="20"/>
                <w:szCs w:val="20"/>
                <w:lang w:val="en-US" w:eastAsia="zh-CN"/>
              </w:rPr>
              <w:t>4</w:t>
            </w:r>
            <w:r>
              <w:rPr>
                <w:rFonts w:hint="eastAsia"/>
                <w:b/>
                <w:color w:val="000000" w:themeColor="text1"/>
                <w:sz w:val="20"/>
                <w:szCs w:val="20"/>
              </w:rPr>
              <w:t xml:space="preserve">.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办公室组织全体部门对所涉及的环境因素进行识别，并评价出重要环境因素，提供环境因素评价记录，目前环境因素识别基本完整，评价的重要环境因素有</w:t>
            </w:r>
            <w:r>
              <w:rPr>
                <w:rFonts w:hint="eastAsia"/>
                <w:sz w:val="21"/>
                <w:szCs w:val="21"/>
              </w:rPr>
              <w:t>固体废弃物排放、火灾的发生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Cs w:val="21"/>
              </w:rPr>
            </w:pPr>
            <w:r>
              <w:rPr>
                <w:rFonts w:hint="eastAsia"/>
                <w:b/>
                <w:color w:val="000000" w:themeColor="text1"/>
                <w:szCs w:val="21"/>
                <w:lang w:val="en-US" w:eastAsia="zh-CN"/>
              </w:rPr>
              <w:t>5</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80" w:lineRule="exact"/>
              <w:ind w:firstLineChars="0"/>
              <w:textAlignment w:val="auto"/>
              <w:rPr>
                <w:rFonts w:ascii="宋体" w:hAnsi="宋体"/>
                <w:b w:val="0"/>
                <w:bCs/>
                <w:color w:val="000000" w:themeColor="text1"/>
                <w:szCs w:val="21"/>
                <w:u w:val="single"/>
              </w:rPr>
            </w:pPr>
            <w:r>
              <w:rPr>
                <w:rFonts w:hint="eastAsia" w:ascii="宋体" w:hAnsi="宋体"/>
                <w:b w:val="0"/>
                <w:bCs/>
                <w:color w:val="000000" w:themeColor="text1"/>
                <w:szCs w:val="21"/>
              </w:rPr>
              <w:t>获取法律法规项，</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法律法规获取充分，□法律法规获取有遗漏，缺少</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80" w:lineRule="exact"/>
              <w:ind w:firstLineChars="0"/>
              <w:textAlignment w:val="auto"/>
              <w:rPr>
                <w:rFonts w:ascii="宋体" w:hAnsi="宋体"/>
                <w:b w:val="0"/>
                <w:bCs/>
                <w:color w:val="000000" w:themeColor="text1"/>
                <w:szCs w:val="21"/>
              </w:rPr>
            </w:pPr>
            <w:r>
              <w:rPr>
                <w:rFonts w:hint="eastAsia" w:ascii="宋体" w:hAnsi="宋体"/>
                <w:b w:val="0"/>
                <w:bCs/>
                <w:color w:val="000000" w:themeColor="text1"/>
                <w:szCs w:val="21"/>
              </w:rPr>
              <w:t>结合公司的</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产品/服务</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环境因素</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危险源，</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确定 □未确定法律法规要求的具体条款，</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80" w:lineRule="exact"/>
              <w:ind w:firstLineChars="0"/>
              <w:textAlignment w:val="auto"/>
              <w:rPr>
                <w:rFonts w:ascii="宋体" w:hAnsi="宋体"/>
                <w:b w:val="0"/>
                <w:bCs/>
                <w:color w:val="000000" w:themeColor="text1"/>
                <w:szCs w:val="21"/>
              </w:rPr>
            </w:pPr>
            <w:r>
              <w:rPr>
                <w:rFonts w:hint="eastAsia" w:ascii="宋体" w:hAnsi="宋体"/>
                <w:b w:val="0"/>
                <w:bCs/>
                <w:color w:val="000000" w:themeColor="text1"/>
                <w:szCs w:val="21"/>
              </w:rPr>
              <w:t>法律法规的宣传方式：</w:t>
            </w:r>
            <w:r>
              <w:rPr>
                <w:rFonts w:hint="eastAsia" w:ascii="宋体" w:hAnsi="宋体"/>
                <w:b w:val="0"/>
                <w:bCs/>
                <w:color w:val="000000" w:themeColor="text1"/>
                <w:szCs w:val="21"/>
                <w:lang w:val="en-US" w:eastAsia="zh-CN"/>
              </w:rPr>
              <w:t>培训</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80" w:lineRule="exact"/>
              <w:ind w:firstLineChars="0"/>
              <w:textAlignment w:val="auto"/>
              <w:rPr>
                <w:b/>
                <w:color w:val="000000" w:themeColor="text1"/>
                <w:sz w:val="14"/>
                <w:szCs w:val="14"/>
              </w:rPr>
            </w:pPr>
            <w:r>
              <w:rPr>
                <w:rFonts w:hint="eastAsia" w:ascii="宋体" w:hAnsi="宋体"/>
                <w:b w:val="0"/>
                <w:bCs/>
                <w:color w:val="000000" w:themeColor="text1"/>
                <w:szCs w:val="21"/>
              </w:rPr>
              <w:t>法律法规要求及时更新了</w:t>
            </w:r>
            <w:r>
              <w:rPr>
                <w:rFonts w:hint="eastAsia" w:ascii="宋体" w:hAnsi="宋体"/>
                <w:b w:val="0"/>
                <w:bCs/>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b/>
                <w:color w:val="000000" w:themeColor="text1"/>
                <w:szCs w:val="21"/>
                <w:lang w:val="en-US" w:eastAsia="zh-CN"/>
              </w:rPr>
              <w:t>6</w:t>
            </w:r>
            <w:r>
              <w:rPr>
                <w:rFonts w:hint="eastAsia"/>
                <w:b/>
                <w:color w:val="000000" w:themeColor="text1"/>
                <w:szCs w:val="21"/>
              </w:rPr>
              <w:t xml:space="preserve">. </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cs="宋体"/>
                <w:lang w:eastAsia="zh-CN"/>
              </w:rPr>
            </w:pPr>
            <w:r>
              <w:rPr>
                <w:rFonts w:hint="eastAsia" w:ascii="Times New Roman" w:hAnsi="Times New Roman" w:cs="宋体"/>
              </w:rPr>
              <w:t>公司环境目标</w:t>
            </w:r>
            <w:r>
              <w:rPr>
                <w:rFonts w:hint="eastAsia" w:cs="宋体"/>
                <w:lang w:eastAsia="zh-CN"/>
              </w:rPr>
              <w:t>：固体废物100%分类</w:t>
            </w:r>
            <w:r>
              <w:rPr>
                <w:rFonts w:hint="eastAsia" w:cs="宋体"/>
                <w:lang w:val="en-US" w:eastAsia="zh-CN"/>
              </w:rPr>
              <w:t>处置</w:t>
            </w:r>
            <w:r>
              <w:rPr>
                <w:rFonts w:hint="eastAsia" w:cs="宋体"/>
                <w:lang w:eastAsia="zh-CN"/>
              </w:rPr>
              <w:t>；杜绝火灾事故发生</w:t>
            </w:r>
            <w:r>
              <w:rPr>
                <w:rFonts w:hint="eastAsia" w:ascii="Times New Roman" w:hAnsi="Times New Roman" w:cs="宋体"/>
              </w:rPr>
              <w:t>。</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cs="宋体"/>
                <w:lang w:val="en-US" w:eastAsia="zh-CN"/>
              </w:rPr>
              <w:t>季度</w:t>
            </w:r>
            <w:r>
              <w:rPr>
                <w:rFonts w:hint="eastAsia" w:ascii="Times New Roman" w:hAnsi="Times New Roman" w:cs="宋体"/>
              </w:rPr>
              <w:t>考核一次，提供</w:t>
            </w:r>
            <w:r>
              <w:rPr>
                <w:rFonts w:hint="eastAsia" w:ascii="Times New Roman" w:hAnsi="Times New Roman" w:cs="宋体"/>
                <w:lang w:val="en-US" w:eastAsia="zh-CN"/>
              </w:rPr>
              <w:t>20</w:t>
            </w:r>
            <w:r>
              <w:rPr>
                <w:rFonts w:hint="eastAsia" w:cs="宋体"/>
                <w:lang w:val="en-US" w:eastAsia="zh-CN"/>
              </w:rPr>
              <w:t>20</w:t>
            </w:r>
            <w:r>
              <w:rPr>
                <w:rFonts w:hint="eastAsia" w:ascii="Times New Roman" w:hAnsi="Times New Roman" w:cs="宋体"/>
                <w:lang w:val="en-US" w:eastAsia="zh-CN"/>
              </w:rPr>
              <w:t>年</w:t>
            </w:r>
            <w:r>
              <w:rPr>
                <w:rFonts w:hint="eastAsia" w:cs="宋体"/>
                <w:lang w:val="en-US" w:eastAsia="zh-CN"/>
              </w:rPr>
              <w:t>3</w:t>
            </w:r>
            <w:r>
              <w:rPr>
                <w:rFonts w:hint="eastAsia" w:ascii="Times New Roman" w:hAnsi="Times New Roman" w:cs="宋体"/>
                <w:lang w:val="en-US" w:eastAsia="zh-CN"/>
              </w:rPr>
              <w:t>季度目标考核记录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7</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ascii="Times New Roman" w:hAnsi="Times New Roman" w:cs="宋体"/>
                <w:lang w:eastAsia="zh-CN"/>
              </w:rPr>
              <w:t>办公室</w:t>
            </w:r>
            <w:r>
              <w:rPr>
                <w:rFonts w:hint="eastAsia" w:ascii="Times New Roman" w:hAnsi="Times New Roman" w:cs="宋体"/>
              </w:rPr>
              <w:t>组织编写，总经理批准发布实施，</w:t>
            </w:r>
            <w:r>
              <w:rPr>
                <w:rFonts w:hint="eastAsia" w:ascii="Times New Roman" w:hAnsi="Times New Roman" w:cs="宋体"/>
                <w:lang w:eastAsia="zh-CN"/>
              </w:rPr>
              <w:t>办公室</w:t>
            </w:r>
            <w:r>
              <w:rPr>
                <w:rFonts w:hint="eastAsia" w:ascii="Times New Roman" w:hAnsi="Times New Roman" w:cs="宋体"/>
              </w:rPr>
              <w:t>打印传阅，公司文件柜存放，电子版本在电脑上，每个人均可查阅。外来文件电子版本在电脑上，每个人均可查阅，产品技术标准打印一套，放于文件柜内该公司人员均可查阅，外来人员查阅需经过总经理批准。记录管理：</w:t>
            </w:r>
            <w:r>
              <w:rPr>
                <w:rFonts w:hint="eastAsia" w:ascii="Times New Roman" w:hAnsi="Times New Roman"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ascii="Times New Roman" w:hAnsi="Times New Roman"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25</w:t>
            </w:r>
            <w:r>
              <w:rPr>
                <w:rFonts w:hint="eastAsia"/>
                <w:sz w:val="21"/>
                <w:szCs w:val="21"/>
              </w:rPr>
              <w:t>人，其中管理人员</w:t>
            </w:r>
            <w:r>
              <w:rPr>
                <w:rFonts w:hint="eastAsia"/>
                <w:sz w:val="21"/>
                <w:szCs w:val="21"/>
                <w:lang w:val="en-US" w:eastAsia="zh-CN"/>
              </w:rPr>
              <w:t>3</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sz w:val="21"/>
                <w:szCs w:val="21"/>
              </w:rPr>
              <w:t>配备有</w:t>
            </w:r>
            <w:r>
              <w:rPr>
                <w:rFonts w:hint="eastAsia"/>
                <w:sz w:val="21"/>
                <w:szCs w:val="21"/>
                <w:lang w:eastAsia="zh-CN"/>
              </w:rPr>
              <w:t>办公室、</w:t>
            </w:r>
            <w:r>
              <w:rPr>
                <w:rFonts w:hint="eastAsia"/>
                <w:sz w:val="21"/>
                <w:szCs w:val="21"/>
                <w:lang w:val="en-US" w:eastAsia="zh-CN"/>
              </w:rPr>
              <w:t>库房</w:t>
            </w:r>
            <w:r>
              <w:rPr>
                <w:rFonts w:hint="eastAsia"/>
                <w:sz w:val="21"/>
                <w:szCs w:val="21"/>
              </w:rPr>
              <w:t>等基础设施，主要设</w:t>
            </w:r>
            <w:r>
              <w:rPr>
                <w:rFonts w:hint="eastAsia"/>
                <w:sz w:val="21"/>
                <w:szCs w:val="21"/>
                <w:lang w:eastAsia="zh-CN"/>
              </w:rPr>
              <w:t>施：电脑、电话、一体机、汽车</w:t>
            </w:r>
            <w:r>
              <w:rPr>
                <w:rFonts w:hint="eastAsia"/>
                <w:sz w:val="21"/>
                <w:szCs w:val="21"/>
              </w:rPr>
              <w:t>，满足</w:t>
            </w:r>
            <w:r>
              <w:rPr>
                <w:rFonts w:hint="eastAsia"/>
                <w:sz w:val="21"/>
                <w:szCs w:val="21"/>
                <w:lang w:eastAsia="zh-CN"/>
              </w:rPr>
              <w:t>销售服务</w:t>
            </w:r>
            <w:r>
              <w:rPr>
                <w:rFonts w:hint="eastAsia"/>
                <w:sz w:val="21"/>
                <w:szCs w:val="21"/>
              </w:rPr>
              <w:t>需求</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ascii="宋体" w:hAnsi="宋体"/>
                <w:b/>
                <w:color w:val="000000" w:themeColor="text1"/>
                <w:sz w:val="20"/>
                <w:szCs w:val="20"/>
              </w:rPr>
              <w:t>过程运行环境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b/>
                <w:color w:val="000000" w:themeColor="text1"/>
                <w:sz w:val="20"/>
                <w:szCs w:val="20"/>
                <w:lang w:val="en-US" w:eastAsia="zh-CN"/>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地点位于</w:t>
            </w:r>
            <w:r>
              <w:rPr>
                <w:rFonts w:asciiTheme="minorEastAsia" w:hAnsiTheme="minorEastAsia" w:eastAsiaTheme="minorEastAsia"/>
                <w:b w:val="0"/>
                <w:bCs w:val="0"/>
                <w:sz w:val="21"/>
                <w:szCs w:val="21"/>
              </w:rPr>
              <w:t>任丘市麻家坞镇刘泊村村西</w:t>
            </w:r>
            <w:r>
              <w:rPr>
                <w:rFonts w:hint="eastAsia" w:cs="宋体"/>
                <w:sz w:val="21"/>
                <w:szCs w:val="21"/>
              </w:rPr>
              <w:t>，</w:t>
            </w:r>
            <w:r>
              <w:rPr>
                <w:rFonts w:hint="eastAsia"/>
                <w:sz w:val="21"/>
                <w:szCs w:val="21"/>
                <w:lang w:eastAsia="zh-CN"/>
              </w:rPr>
              <w:t>办公</w:t>
            </w:r>
            <w:r>
              <w:rPr>
                <w:rFonts w:hint="eastAsia"/>
                <w:color w:val="auto"/>
                <w:sz w:val="21"/>
                <w:szCs w:val="21"/>
                <w:lang w:eastAsia="zh-CN"/>
              </w:rPr>
              <w:t>区域面</w:t>
            </w:r>
            <w:r>
              <w:rPr>
                <w:rFonts w:hint="eastAsia"/>
                <w:color w:val="auto"/>
                <w:sz w:val="21"/>
                <w:szCs w:val="21"/>
                <w:lang w:val="en-US" w:eastAsia="zh-CN"/>
              </w:rPr>
              <w:t>200平米、库房400平</w:t>
            </w:r>
            <w:r>
              <w:rPr>
                <w:rFonts w:hint="eastAsia"/>
                <w:sz w:val="21"/>
                <w:szCs w:val="21"/>
                <w:lang w:val="en-US" w:eastAsia="zh-CN"/>
              </w:rPr>
              <w:t>米，</w:t>
            </w:r>
            <w:r>
              <w:rPr>
                <w:rFonts w:hint="eastAsia"/>
                <w:sz w:val="21"/>
                <w:szCs w:val="21"/>
                <w:lang w:eastAsia="zh-CN"/>
              </w:rPr>
              <w:t>布局合理，场所卫生干净整洁，工作环境良好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b/>
                <w:color w:val="000000" w:themeColor="text1"/>
                <w:sz w:val="20"/>
                <w:szCs w:val="20"/>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ascii="宋体" w:hAnsi="宋体"/>
                <w:b/>
                <w:color w:val="000000" w:themeColor="text1"/>
                <w:sz w:val="20"/>
                <w:szCs w:val="20"/>
              </w:rPr>
              <w:t>知识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b/>
                <w:color w:val="000000" w:themeColor="text1"/>
                <w:sz w:val="20"/>
                <w:szCs w:val="20"/>
                <w:lang w:eastAsia="zh-CN"/>
              </w:rPr>
            </w:pPr>
            <w:r>
              <w:rPr>
                <w:rFonts w:hint="eastAsia"/>
                <w:sz w:val="21"/>
                <w:szCs w:val="21"/>
              </w:rPr>
              <w:t>公司对法律法规及其他要求进行了获取，包括质量法、合同法、环境保护法、劳动法、消防法、环境空气质量标准、固体废弃物环境防治法、仓库防火安全管理规则、GB3095-2012《环境空气质量标准》、</w:t>
            </w:r>
            <w:r>
              <w:rPr>
                <w:rFonts w:hint="eastAsia"/>
                <w:sz w:val="21"/>
                <w:szCs w:val="21"/>
                <w:u w:val="none"/>
                <w:lang w:val="en-US" w:eastAsia="zh-CN"/>
              </w:rPr>
              <w:t>《</w:t>
            </w:r>
            <w:r>
              <w:rPr>
                <w:rFonts w:hint="eastAsia" w:ascii="宋体" w:hAnsi="宋体" w:eastAsia="宋体"/>
                <w:sz w:val="21"/>
                <w:szCs w:val="21"/>
                <w:u w:val="none"/>
              </w:rPr>
              <w:t>社会生活环境噪声排放标准</w:t>
            </w:r>
            <w:r>
              <w:rPr>
                <w:rFonts w:hint="eastAsia" w:ascii="宋体" w:hAnsi="宋体" w:eastAsia="宋体"/>
                <w:sz w:val="21"/>
                <w:szCs w:val="21"/>
                <w:u w:val="none"/>
                <w:lang w:eastAsia="zh-CN"/>
              </w:rPr>
              <w:t>》</w:t>
            </w:r>
            <w:r>
              <w:rPr>
                <w:rFonts w:hint="eastAsia" w:ascii="宋体" w:hAnsi="宋体"/>
                <w:sz w:val="21"/>
                <w:szCs w:val="21"/>
                <w:u w:val="none"/>
                <w:lang w:eastAsia="zh-CN"/>
              </w:rPr>
              <w:t>、</w:t>
            </w:r>
            <w:r>
              <w:rPr>
                <w:rFonts w:hint="eastAsia"/>
                <w:sz w:val="21"/>
                <w:szCs w:val="21"/>
              </w:rPr>
              <w:t>GB/T24001-2016《环境管理体系 要求及使用指南》等法规要求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9"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b/>
                <w:color w:val="000000" w:themeColor="text1"/>
                <w:sz w:val="20"/>
                <w:szCs w:val="20"/>
              </w:rPr>
            </w:pPr>
            <w:r>
              <w:rPr>
                <w:rFonts w:hint="eastAsia"/>
                <w:b/>
                <w:color w:val="000000" w:themeColor="text1"/>
                <w:sz w:val="20"/>
                <w:szCs w:val="20"/>
              </w:rPr>
              <w:t>1. 针对方针的管理职责评审（包括针对组织宗旨，制定相关管理方针政策、确保方针为员工理解并在运营中实施，监视方针的实施并评审方针的适宜性）</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lang w:eastAsia="zh-CN"/>
              </w:rPr>
            </w:pPr>
            <w:r>
              <w:t>1.</w:t>
            </w:r>
            <w:r>
              <w:rPr>
                <w:rFonts w:hint="eastAsia" w:cs="宋体"/>
              </w:rPr>
              <w:t>管理方针：</w:t>
            </w:r>
            <w:r>
              <w:rPr>
                <w:rFonts w:hint="eastAsia" w:cs="宋体"/>
                <w:lang w:eastAsia="zh-CN"/>
              </w:rPr>
              <w:t>科学管理，遵守法规，预防污染，持续改进</w:t>
            </w:r>
          </w:p>
          <w:p>
            <w:pPr>
              <w:keepNext w:val="0"/>
              <w:keepLines w:val="0"/>
              <w:pageBreakBefore w:val="0"/>
              <w:kinsoku/>
              <w:wordWrap/>
              <w:overflowPunct/>
              <w:topLinePunct w:val="0"/>
              <w:autoSpaceDE/>
              <w:autoSpaceDN/>
              <w:bidi w:val="0"/>
              <w:adjustRightInd/>
              <w:snapToGrid/>
              <w:spacing w:line="38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80" w:lineRule="exact"/>
              <w:ind w:left="1"/>
              <w:textAlignment w:val="auto"/>
              <w:rPr>
                <w:rFonts w:hint="eastAsia"/>
                <w:b/>
                <w:color w:val="000000" w:themeColor="text1"/>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autoSpaceDE/>
              <w:autoSpaceDN/>
              <w:bidi w:val="0"/>
              <w:adjustRightInd/>
              <w:snapToGrid/>
              <w:spacing w:line="38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8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autoSpaceDE/>
              <w:autoSpaceDN/>
              <w:bidi w:val="0"/>
              <w:adjustRightInd/>
              <w:snapToGrid/>
              <w:spacing w:line="38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8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pacing w:val="-8"/>
                <w:sz w:val="20"/>
                <w:szCs w:val="20"/>
              </w:rPr>
            </w:pPr>
            <w:r>
              <w:rPr>
                <w:rFonts w:hint="eastAsia"/>
                <w:b/>
                <w:color w:val="000000" w:themeColor="text1"/>
                <w:sz w:val="20"/>
                <w:szCs w:val="20"/>
                <w:lang w:val="en-US" w:eastAsia="zh-CN"/>
              </w:rPr>
              <w:t>3</w:t>
            </w:r>
            <w:r>
              <w:rPr>
                <w:rFonts w:hint="eastAsia"/>
                <w:b/>
                <w:color w:val="000000" w:themeColor="text1"/>
                <w:sz w:val="20"/>
                <w:szCs w:val="20"/>
              </w:rPr>
              <w:t xml:space="preserve">. </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sz w:val="21"/>
                <w:szCs w:val="21"/>
              </w:rPr>
              <w:t>对于</w:t>
            </w:r>
            <w:r>
              <w:rPr>
                <w:rFonts w:hint="eastAsia"/>
                <w:sz w:val="21"/>
                <w:szCs w:val="21"/>
                <w:lang w:val="en-US" w:eastAsia="zh-CN"/>
              </w:rPr>
              <w:t>日常检查发现</w:t>
            </w:r>
            <w:r>
              <w:rPr>
                <w:rFonts w:hint="eastAsia"/>
                <w:sz w:val="21"/>
                <w:szCs w:val="21"/>
              </w:rPr>
              <w:t>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 EMS组织对重要环境因素实施控制的结果</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autoSpaceDE/>
              <w:autoSpaceDN/>
              <w:bidi w:val="0"/>
              <w:adjustRightInd/>
              <w:snapToGrid/>
              <w:spacing w:line="380" w:lineRule="exact"/>
              <w:textAlignment w:val="auto"/>
              <w:rPr>
                <w:rFonts w:hint="default" w:eastAsia="宋体"/>
                <w:b/>
                <w:color w:val="000000" w:themeColor="text1"/>
                <w:sz w:val="20"/>
                <w:szCs w:val="20"/>
                <w:lang w:val="en-US" w:eastAsia="zh-CN"/>
              </w:rPr>
            </w:pPr>
            <w:r>
              <w:rPr>
                <w:rFonts w:hint="eastAsia"/>
                <w:sz w:val="21"/>
                <w:szCs w:val="21"/>
                <w:lang w:val="en-GB"/>
              </w:rPr>
              <w:t>编制</w:t>
            </w:r>
            <w:r>
              <w:rPr>
                <w:rFonts w:hint="eastAsia"/>
                <w:sz w:val="21"/>
                <w:szCs w:val="21"/>
              </w:rPr>
              <w:t>运行控制程序，固体废弃物管理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rPr>
              <w:t>办公室安全管理制度等，针对各部门所负责的工作，分别对环境运行过程进行控制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提供有固废处置记录、相关方告知书及发放记录、劳保用品发放记录。</w:t>
            </w:r>
            <w:r>
              <w:rPr>
                <w:rFonts w:hint="eastAsia"/>
                <w:sz w:val="21"/>
                <w:szCs w:val="21"/>
              </w:rPr>
              <w:t>查看办公区域干净整洁，</w:t>
            </w:r>
            <w:r>
              <w:rPr>
                <w:rFonts w:hint="eastAsia"/>
                <w:sz w:val="21"/>
                <w:szCs w:val="21"/>
                <w:lang w:val="en-US" w:eastAsia="zh-CN"/>
              </w:rPr>
              <w:t>配有灭火器</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ind w:left="201" w:hanging="201" w:hangingChars="100"/>
              <w:textAlignment w:val="auto"/>
              <w:rPr>
                <w:b/>
                <w:color w:val="000000" w:themeColor="text1"/>
                <w:sz w:val="20"/>
                <w:szCs w:val="20"/>
              </w:rPr>
            </w:pPr>
            <w:r>
              <w:rPr>
                <w:rFonts w:hint="eastAsia"/>
                <w:b/>
                <w:color w:val="000000" w:themeColor="text1"/>
                <w:sz w:val="20"/>
                <w:szCs w:val="20"/>
                <w:lang w:val="en-US" w:eastAsia="zh-CN"/>
              </w:rPr>
              <w:t>5</w:t>
            </w:r>
            <w:r>
              <w:rPr>
                <w:rFonts w:hint="eastAsia"/>
                <w:b/>
                <w:color w:val="000000" w:themeColor="text1"/>
                <w:sz w:val="20"/>
                <w:szCs w:val="20"/>
              </w:rPr>
              <w:t xml:space="preserve">. 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pacing w:val="-4"/>
                <w:sz w:val="20"/>
                <w:szCs w:val="20"/>
              </w:rPr>
            </w:pPr>
            <w:r>
              <w:rPr>
                <w:rFonts w:hint="eastAsia"/>
                <w:sz w:val="21"/>
                <w:szCs w:val="21"/>
                <w:lang w:val="en-GB"/>
              </w:rPr>
              <w:t>编制应急准备和响应控制程序，识别的潜在意外紧急情况为火灾、触电等。编制了应急预案，组织了消防演练，提供了应急预案演练记录。对应急预案进行了评价，可行。</w:t>
            </w:r>
            <w:r>
              <w:rPr>
                <w:rFonts w:hint="eastAsia"/>
                <w:sz w:val="21"/>
                <w:szCs w:val="21"/>
                <w:lang w:val="en-US" w:eastAsia="zh-CN"/>
              </w:rPr>
              <w:t>库房未</w:t>
            </w:r>
            <w:r>
              <w:rPr>
                <w:rFonts w:hint="eastAsia"/>
                <w:sz w:val="21"/>
                <w:szCs w:val="21"/>
              </w:rPr>
              <w:t>配置灭火器等消防设施</w:t>
            </w:r>
            <w:r>
              <w:rPr>
                <w:rFonts w:hint="eastAsia"/>
                <w:sz w:val="21"/>
                <w:szCs w:val="21"/>
                <w:lang w:eastAsia="zh-CN"/>
              </w:rPr>
              <w:t>，</w:t>
            </w:r>
            <w:r>
              <w:rPr>
                <w:rFonts w:hint="eastAsia"/>
                <w:sz w:val="21"/>
                <w:szCs w:val="21"/>
                <w:lang w:val="en-US" w:eastAsia="zh-CN"/>
              </w:rPr>
              <w:t>已开具不符合报告，要求限期整改</w:t>
            </w:r>
            <w:r>
              <w:rPr>
                <w:rFonts w:hint="eastAsia" w:ascii="宋体" w:hAnsi="宋体"/>
                <w:bCs/>
                <w:color w:val="auto"/>
                <w:sz w:val="21"/>
                <w:szCs w:val="21"/>
                <w:u w:val="none"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lang w:val="en-US" w:eastAsia="zh-CN"/>
              </w:rPr>
              <w:t>6</w:t>
            </w:r>
            <w:r>
              <w:rPr>
                <w:rFonts w:hint="eastAsia"/>
                <w:b/>
                <w:color w:val="000000" w:themeColor="text1"/>
                <w:sz w:val="20"/>
                <w:szCs w:val="20"/>
              </w:rPr>
              <w:t xml:space="preserve">. 对特种设备的维护，检定; </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b/>
                <w:color w:val="000000" w:themeColor="text1"/>
                <w:sz w:val="20"/>
                <w:szCs w:val="20"/>
                <w:lang w:val="en-US" w:eastAsia="zh-CN"/>
              </w:rPr>
            </w:pPr>
            <w:r>
              <w:rPr>
                <w:rFonts w:hint="eastAsia"/>
                <w:b/>
                <w:color w:val="000000" w:themeColor="text1"/>
                <w:sz w:val="20"/>
                <w:szCs w:val="20"/>
                <w:lang w:val="en-US" w:eastAsia="zh-CN"/>
              </w:rPr>
              <w:t>7</w:t>
            </w:r>
            <w:r>
              <w:rPr>
                <w:rFonts w:hint="eastAsia"/>
                <w:b/>
                <w:color w:val="000000" w:themeColor="text1"/>
                <w:sz w:val="20"/>
                <w:szCs w:val="20"/>
              </w:rPr>
              <w:t xml:space="preserve"> .对危险化学品销售、使用、储存、运输处置，规定的执行力度(必要时);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autoSpaceDE/>
              <w:autoSpaceDN/>
              <w:bidi w:val="0"/>
              <w:adjustRightInd/>
              <w:snapToGrid/>
              <w:spacing w:line="38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w:t>
            </w:r>
            <w:r>
              <w:rPr>
                <w:rFonts w:hint="eastAsia"/>
                <w:sz w:val="21"/>
                <w:szCs w:val="21"/>
                <w:lang w:val="en-US" w:eastAsia="zh-CN"/>
              </w:rPr>
              <w:t>季度</w:t>
            </w:r>
            <w:r>
              <w:rPr>
                <w:rFonts w:hint="eastAsia"/>
                <w:sz w:val="21"/>
                <w:szCs w:val="21"/>
              </w:rPr>
              <w:t>考核一次，查看20</w:t>
            </w:r>
            <w:r>
              <w:rPr>
                <w:rFonts w:hint="eastAsia"/>
                <w:sz w:val="21"/>
                <w:szCs w:val="21"/>
                <w:lang w:val="en-US" w:eastAsia="zh-CN"/>
              </w:rPr>
              <w:t>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lang w:val="en-US" w:eastAsia="zh-CN"/>
              </w:rPr>
              <w:t>2</w:t>
            </w:r>
            <w:r>
              <w:rPr>
                <w:rFonts w:hint="eastAsia"/>
                <w:b/>
                <w:color w:val="000000" w:themeColor="text1"/>
                <w:sz w:val="20"/>
                <w:szCs w:val="20"/>
              </w:rPr>
              <w:t>.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sz w:val="21"/>
                <w:szCs w:val="21"/>
              </w:rPr>
              <w:t>按照策划的安排于</w:t>
            </w:r>
            <w:r>
              <w:t>20</w:t>
            </w:r>
            <w:r>
              <w:rPr>
                <w:rFonts w:hint="eastAsia"/>
                <w:lang w:val="en-US" w:eastAsia="zh-CN"/>
              </w:rPr>
              <w:t>20年9月10日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lang w:val="en-US" w:eastAsia="zh-CN"/>
              </w:rPr>
              <w:t>3</w:t>
            </w:r>
            <w:r>
              <w:rPr>
                <w:rFonts w:hint="eastAsia"/>
                <w:b/>
                <w:color w:val="000000" w:themeColor="text1"/>
                <w:sz w:val="20"/>
                <w:szCs w:val="20"/>
              </w:rPr>
              <w:t>.管理评审（管理评审体系变更需求，纠正和预防措施、体系有效性等）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sz w:val="21"/>
                <w:szCs w:val="21"/>
              </w:rPr>
              <w:t>按照策划的安排于</w:t>
            </w:r>
            <w:r>
              <w:t>20</w:t>
            </w:r>
            <w:r>
              <w:rPr>
                <w:rFonts w:hint="eastAsia"/>
                <w:lang w:val="en-US" w:eastAsia="zh-CN"/>
              </w:rPr>
              <w:t>20</w:t>
            </w:r>
            <w:r>
              <w:rPr>
                <w:rFonts w:hint="eastAsia" w:cs="宋体"/>
              </w:rPr>
              <w:t>年</w:t>
            </w:r>
            <w:r>
              <w:rPr>
                <w:rFonts w:hint="eastAsia"/>
                <w:lang w:val="en-US" w:eastAsia="zh-CN"/>
              </w:rPr>
              <w:t>9</w:t>
            </w:r>
            <w:r>
              <w:rPr>
                <w:rFonts w:hint="eastAsia" w:cs="宋体"/>
              </w:rPr>
              <w:t>月</w:t>
            </w:r>
            <w:r>
              <w:rPr>
                <w:rFonts w:hint="eastAsia"/>
                <w:lang w:val="en-US" w:eastAsia="zh-CN"/>
              </w:rPr>
              <w:t>21</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eastAsia"/>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lang w:val="en-US" w:eastAsia="zh-CN"/>
              </w:rPr>
              <w:t>5.</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8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0"/>
              </w:numPr>
              <w:kinsoku/>
              <w:wordWrap/>
              <w:overflowPunct/>
              <w:topLinePunct w:val="0"/>
              <w:autoSpaceDE/>
              <w:autoSpaceDN/>
              <w:bidi w:val="0"/>
              <w:adjustRightInd/>
              <w:snapToGrid/>
              <w:spacing w:line="380" w:lineRule="exact"/>
              <w:textAlignment w:val="auto"/>
              <w:rPr>
                <w:rFonts w:hint="eastAsia"/>
                <w:b/>
                <w:color w:val="000000" w:themeColor="text1"/>
                <w:sz w:val="20"/>
                <w:szCs w:val="20"/>
              </w:rPr>
            </w:pPr>
            <w:r>
              <w:rPr>
                <w:rFonts w:hint="eastAsia"/>
                <w:b/>
                <w:color w:val="000000" w:themeColor="text1"/>
                <w:sz w:val="20"/>
                <w:szCs w:val="20"/>
                <w:lang w:val="en-US" w:eastAsia="zh-CN"/>
              </w:rPr>
              <w:t>6.</w:t>
            </w: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textAlignment w:val="auto"/>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leftChars="0" w:righ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已完成</w:t>
            </w:r>
            <w:r>
              <w:rPr>
                <w:rFonts w:hint="eastAsia"/>
                <w:sz w:val="21"/>
                <w:szCs w:val="21"/>
              </w:rPr>
              <w:t>。</w:t>
            </w:r>
            <w:r>
              <w:rPr>
                <w:rFonts w:hint="eastAsia"/>
                <w:sz w:val="21"/>
                <w:szCs w:val="21"/>
                <w:lang w:eastAsia="zh-CN"/>
              </w:rPr>
              <w:t>纠正措施尚可。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3. 一阶段提出问题的整改情况?</w:t>
            </w:r>
          </w:p>
          <w:p>
            <w:pPr>
              <w:keepNext w:val="0"/>
              <w:keepLines w:val="0"/>
              <w:pageBreakBefore w:val="0"/>
              <w:kinsoku/>
              <w:wordWrap/>
              <w:overflowPunct/>
              <w:topLinePunct w:val="0"/>
              <w:autoSpaceDE/>
              <w:autoSpaceDN/>
              <w:bidi w:val="0"/>
              <w:adjustRightInd/>
              <w:snapToGrid/>
              <w:spacing w:line="380" w:lineRule="exact"/>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4"/>
              </w:numPr>
              <w:kinsoku/>
              <w:wordWrap/>
              <w:overflowPunct/>
              <w:topLinePunct w:val="0"/>
              <w:autoSpaceDE/>
              <w:autoSpaceDN/>
              <w:bidi w:val="0"/>
              <w:adjustRightInd/>
              <w:snapToGrid/>
              <w:spacing w:line="380" w:lineRule="exact"/>
              <w:textAlignment w:val="auto"/>
              <w:rPr>
                <w:rFonts w:hint="eastAsia"/>
                <w:b/>
                <w:color w:val="000000" w:themeColor="text1"/>
                <w:sz w:val="20"/>
                <w:szCs w:val="20"/>
              </w:rPr>
            </w:pP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Cs w:val="21"/>
              </w:rPr>
            </w:pPr>
            <w:r>
              <w:rPr>
                <w:rFonts w:hint="eastAsia"/>
                <w:b/>
                <w:color w:val="000000" w:themeColor="text1"/>
                <w:szCs w:val="21"/>
              </w:rPr>
              <w:t>5. 上次不符合的整改情况（再认证填写）</w:t>
            </w:r>
          </w:p>
        </w:tc>
      </w:tr>
    </w:tbl>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0"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供销部8.2</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spacing w:line="360" w:lineRule="auto"/>
        <w:ind w:left="1" w:leftChars="-472" w:hanging="992" w:hangingChars="380"/>
        <w:rPr>
          <w:rFonts w:hint="eastAsia"/>
          <w:b/>
          <w:color w:val="000000" w:themeColor="text1"/>
          <w:sz w:val="26"/>
          <w:szCs w:val="26"/>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40" w:lineRule="exact"/>
              <w:rPr>
                <w:b/>
                <w:color w:val="000000" w:themeColor="text1"/>
                <w:sz w:val="22"/>
                <w:szCs w:val="22"/>
              </w:rPr>
            </w:pP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sz w:val="21"/>
                <w:szCs w:val="21"/>
                <w:u w:val="single"/>
                <w:lang w:eastAsia="zh-CN"/>
              </w:rPr>
              <w:t>安平县瑞奥金属制品有限公司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lang w:eastAsia="zh-CN"/>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cs="宋体"/>
                <w:b/>
                <w:color w:val="auto"/>
                <w:sz w:val="21"/>
                <w:szCs w:val="21"/>
                <w:lang w:eastAsia="zh-CN"/>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w:t>
            </w:r>
          </w:p>
          <w:p>
            <w:pPr>
              <w:rPr>
                <w:b/>
                <w:color w:val="000000" w:themeColor="text1"/>
              </w:rPr>
            </w:pPr>
            <w:r>
              <w:rPr>
                <w:rFonts w:hint="eastAsia" w:ascii="宋体" w:hAnsi="宋体"/>
                <w:sz w:val="21"/>
                <w:szCs w:val="21"/>
                <w:lang w:val="en-US" w:eastAsia="zh-CN"/>
              </w:rPr>
              <w:t>声屏障、护栏网、防护网、刺绳、石笼网的销售</w:t>
            </w:r>
            <w:r>
              <w:rPr>
                <w:rFonts w:hint="eastAsia" w:ascii="宋体" w:hAnsi="宋体"/>
                <w:sz w:val="21"/>
                <w:szCs w:val="21"/>
              </w:rPr>
              <w:t>及其所涉及场所的相关环境管理活动</w:t>
            </w:r>
          </w:p>
          <w:p>
            <w:pPr>
              <w:rPr>
                <w:rFonts w:hint="eastAsia"/>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hint="eastAsia"/>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Times New Roman" w:hAnsi="Times New Roman" w:eastAsia="宋体" w:cs="Times New Roman"/>
          <w:b/>
          <w:color w:val="000000" w:themeColor="text1"/>
          <w:kern w:val="2"/>
          <w:sz w:val="26"/>
          <w:szCs w:val="26"/>
          <w:lang w:val="en-US" w:eastAsia="zh-CN" w:bidi="ar-SA"/>
        </w:rPr>
        <w:t>审核基于对可获得信息的抽样过程的免责声明</w:t>
      </w:r>
      <w:r>
        <w:rPr>
          <w:rFonts w:hint="eastAsia" w:ascii="仿宋" w:hAnsi="仿宋" w:eastAsia="仿宋"/>
          <w:color w:val="000000" w:themeColor="text1"/>
          <w:kern w:val="24"/>
          <w:sz w:val="28"/>
          <w:szCs w:val="28"/>
        </w:rPr>
        <w:t xml:space="preserve">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rFonts w:hint="eastAsia"/>
          <w:b/>
          <w:color w:val="000000" w:themeColor="text1"/>
          <w:sz w:val="26"/>
          <w:szCs w:val="26"/>
        </w:rPr>
      </w:pP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w:t>
      </w:r>
      <w:r>
        <w:rPr>
          <w:rFonts w:hint="eastAsia" w:ascii="Times New Roman" w:hAnsi="Times New Roman" w:cs="Times New Roman"/>
          <w:b/>
          <w:color w:val="000000" w:themeColor="text1"/>
          <w:sz w:val="26"/>
          <w:szCs w:val="26"/>
        </w:rPr>
        <w:t>任何影响审核方案的重要事项</w:t>
      </w:r>
    </w:p>
    <w:p>
      <w:pPr>
        <w:spacing w:before="156" w:beforeLines="50" w:after="156" w:afterLines="50"/>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val="en-US" w:eastAsia="zh-CN"/>
        </w:rPr>
        <w:drawing>
          <wp:anchor distT="0" distB="0" distL="114300" distR="114300" simplePos="0" relativeHeight="251662336" behindDoc="0" locked="0" layoutInCell="1" allowOverlap="1">
            <wp:simplePos x="0" y="0"/>
            <wp:positionH relativeFrom="column">
              <wp:posOffset>1473200</wp:posOffset>
            </wp:positionH>
            <wp:positionV relativeFrom="paragraph">
              <wp:posOffset>127635</wp:posOffset>
            </wp:positionV>
            <wp:extent cx="1195070" cy="575310"/>
            <wp:effectExtent l="0" t="0" r="0" b="9525"/>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195070" cy="57531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5" w:leftChars="-32" w:hanging="52" w:hangingChars="26"/>
        <w:rPr>
          <w:b/>
          <w:color w:val="000000" w:themeColor="text1"/>
        </w:rPr>
      </w:pPr>
      <w:r>
        <w:rPr>
          <w:sz w:val="20"/>
        </w:rPr>
        <w:drawing>
          <wp:anchor distT="0" distB="0" distL="0" distR="0" simplePos="0" relativeHeight="251664384" behindDoc="0" locked="0" layoutInCell="1" allowOverlap="1">
            <wp:simplePos x="0" y="0"/>
            <wp:positionH relativeFrom="column">
              <wp:posOffset>1623695</wp:posOffset>
            </wp:positionH>
            <wp:positionV relativeFrom="paragraph">
              <wp:posOffset>371475</wp:posOffset>
            </wp:positionV>
            <wp:extent cx="858520" cy="363220"/>
            <wp:effectExtent l="0" t="0" r="5080" b="508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58520" cy="363220"/>
                    </a:xfrm>
                    <a:prstGeom prst="rect">
                      <a:avLst/>
                    </a:prstGeom>
                    <a:noFill/>
                  </pic:spPr>
                </pic:pic>
              </a:graphicData>
            </a:graphic>
          </wp:anchor>
        </w:drawing>
      </w:r>
      <w:r>
        <w:rPr>
          <w:rFonts w:hint="eastAsia"/>
          <w:b/>
          <w:color w:val="000000" w:themeColor="text1"/>
          <w:sz w:val="26"/>
          <w:szCs w:val="26"/>
        </w:rPr>
        <w:t>审核组组长（签名）：</w:t>
      </w:r>
    </w:p>
    <w:p>
      <w:pPr>
        <w:snapToGrid w:val="0"/>
        <w:spacing w:after="156" w:afterLines="50" w:line="360" w:lineRule="auto"/>
        <w:ind w:left="1" w:leftChars="-32" w:hanging="68" w:hangingChars="26"/>
        <w:rPr>
          <w:rFonts w:hint="eastAsia" w:eastAsia="宋体"/>
          <w:b/>
          <w:color w:val="000000" w:themeColor="text1"/>
          <w:sz w:val="26"/>
          <w:szCs w:val="26"/>
          <w:lang w:val="en-US" w:eastAsia="zh-CN"/>
        </w:rPr>
      </w:pPr>
      <w:r>
        <w:rPr>
          <w:rFonts w:hint="eastAsia"/>
          <w:b/>
          <w:color w:val="000000" w:themeColor="text1"/>
          <w:sz w:val="26"/>
          <w:szCs w:val="26"/>
        </w:rPr>
        <w:t>审核组组员（签名）：</w:t>
      </w:r>
    </w:p>
    <w:p>
      <w:pPr>
        <w:snapToGrid w:val="0"/>
        <w:spacing w:line="360" w:lineRule="auto"/>
        <w:ind w:firstLine="4554" w:firstLineChars="21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11</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26</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rFonts w:hint="eastAsia"/>
          <w:b/>
          <w:color w:val="000000" w:themeColor="text1"/>
          <w:sz w:val="26"/>
          <w:szCs w:val="26"/>
        </w:rPr>
      </w:pP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color w:val="000000" w:themeColor="text1"/>
          <w:szCs w:val="21"/>
        </w:rPr>
        <w:t>存在问题说明及意见：</w:t>
      </w: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eastAsia"/>
          <w:b/>
          <w:color w:val="000000" w:themeColor="text1"/>
          <w:szCs w:val="21"/>
        </w:rPr>
      </w:pPr>
      <w:r>
        <w:rPr>
          <w:rFonts w:hint="eastAsia"/>
          <w:b/>
          <w:color w:val="000000" w:themeColor="text1"/>
          <w:szCs w:val="21"/>
        </w:rPr>
        <w:drawing>
          <wp:anchor distT="0" distB="0" distL="114300" distR="114300" simplePos="0" relativeHeight="251663360" behindDoc="0" locked="0" layoutInCell="1" allowOverlap="1">
            <wp:simplePos x="0" y="0"/>
            <wp:positionH relativeFrom="column">
              <wp:posOffset>582930</wp:posOffset>
            </wp:positionH>
            <wp:positionV relativeFrom="paragraph">
              <wp:posOffset>322580</wp:posOffset>
            </wp:positionV>
            <wp:extent cx="1272540" cy="612775"/>
            <wp:effectExtent l="0" t="0" r="0" b="1016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1272540" cy="612775"/>
                    </a:xfrm>
                    <a:prstGeom prst="rect">
                      <a:avLst/>
                    </a:prstGeom>
                  </pic:spPr>
                </pic:pic>
              </a:graphicData>
            </a:graphic>
          </wp:anchor>
        </w:drawing>
      </w:r>
    </w:p>
    <w:p>
      <w:pPr>
        <w:spacing w:before="312" w:beforeLines="100" w:after="156" w:afterLines="50"/>
        <w:rPr>
          <w:rFonts w:hint="eastAsia"/>
          <w:b/>
          <w:color w:val="000000" w:themeColor="text1"/>
        </w:rPr>
      </w:pP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11</w:t>
      </w:r>
      <w:r>
        <w:rPr>
          <w:rFonts w:hint="eastAsia"/>
          <w:b/>
          <w:color w:val="000000" w:themeColor="text1"/>
          <w:szCs w:val="21"/>
        </w:rPr>
        <w:t>月</w:t>
      </w:r>
      <w:r>
        <w:rPr>
          <w:rFonts w:hint="eastAsia"/>
          <w:b/>
          <w:color w:val="000000" w:themeColor="text1"/>
          <w:szCs w:val="21"/>
          <w:lang w:val="en-US" w:eastAsia="zh-CN"/>
        </w:rPr>
        <w:t>28</w:t>
      </w:r>
      <w:bookmarkStart w:id="10" w:name="_GoBack"/>
      <w:bookmarkEnd w:id="10"/>
      <w:r>
        <w:rPr>
          <w:rFonts w:hint="eastAsia"/>
          <w:b/>
          <w:color w:val="000000" w:themeColor="text1"/>
          <w:szCs w:val="21"/>
        </w:rPr>
        <w:t>日</w:t>
      </w:r>
    </w:p>
    <w:p>
      <w:pPr>
        <w:spacing w:line="360" w:lineRule="auto"/>
        <w:ind w:left="202" w:leftChars="-405" w:hanging="1052" w:hangingChars="403"/>
        <w:rPr>
          <w:rFonts w:hint="eastAsia"/>
          <w:b/>
          <w:color w:val="000000" w:themeColor="text1"/>
          <w:sz w:val="26"/>
          <w:szCs w:val="26"/>
        </w:rPr>
      </w:pPr>
    </w:p>
    <w:p>
      <w:pPr>
        <w:spacing w:line="360" w:lineRule="auto"/>
        <w:ind w:left="202" w:leftChars="-405" w:hanging="1052" w:hangingChars="403"/>
        <w:rPr>
          <w:b/>
          <w:color w:val="000000" w:themeColor="text1"/>
          <w:sz w:val="26"/>
          <w:szCs w:val="26"/>
        </w:rPr>
      </w:pPr>
      <w:r>
        <w:rPr>
          <w:rFonts w:hint="eastAsia"/>
          <w:b/>
          <w:color w:val="000000" w:themeColor="text1"/>
          <w:sz w:val="26"/>
          <w:szCs w:val="26"/>
        </w:rPr>
        <w:t>十六、认证评定与批准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rPr>
          <w:rFonts w:hint="eastAsia"/>
          <w:b/>
          <w:color w:val="000000" w:themeColor="text1"/>
          <w:sz w:val="26"/>
          <w:szCs w:val="26"/>
        </w:rPr>
      </w:pPr>
    </w:p>
    <w:p>
      <w:pPr>
        <w:spacing w:line="360" w:lineRule="auto"/>
        <w:ind w:left="202" w:leftChars="-405" w:hanging="1052" w:hangingChars="403"/>
        <w:rPr>
          <w:rFonts w:hint="eastAsia" w:eastAsia="宋体"/>
          <w:b/>
          <w:color w:val="000000" w:themeColor="text1"/>
          <w:sz w:val="26"/>
          <w:szCs w:val="26"/>
        </w:rPr>
      </w:pPr>
      <w:r>
        <w:rPr>
          <w:rFonts w:hint="eastAsia" w:eastAsia="宋体"/>
          <w:b/>
          <w:color w:val="000000" w:themeColor="text1"/>
          <w:sz w:val="26"/>
          <w:szCs w:val="26"/>
        </w:rPr>
        <w:t>十七、与末次会议结论不同处的说明和其他说明(技术委员会填写)</w:t>
      </w:r>
    </w:p>
    <w:p>
      <w:pPr>
        <w:snapToGrid w:val="0"/>
        <w:spacing w:line="360" w:lineRule="auto"/>
        <w:ind w:left="0" w:leftChars="-405" w:hanging="850" w:hangingChars="403"/>
        <w:rPr>
          <w:b/>
          <w:color w:val="000000" w:themeColor="text1"/>
          <w:szCs w:val="21"/>
          <w:u w:val="single"/>
        </w:rPr>
      </w:pPr>
    </w:p>
    <w:p>
      <w:pPr>
        <w:spacing w:line="360" w:lineRule="auto"/>
        <w:ind w:left="202" w:leftChars="-405" w:hanging="1052" w:hangingChars="403"/>
        <w:rPr>
          <w:rFonts w:hint="eastAsia" w:eastAsia="宋体"/>
          <w:b/>
          <w:color w:val="000000" w:themeColor="text1"/>
          <w:sz w:val="26"/>
          <w:szCs w:val="26"/>
        </w:rPr>
      </w:pPr>
    </w:p>
    <w:p>
      <w:pPr>
        <w:spacing w:line="360" w:lineRule="auto"/>
        <w:ind w:left="202" w:leftChars="-405" w:hanging="1052" w:hangingChars="403"/>
        <w:rPr>
          <w:rFonts w:hint="eastAsia" w:eastAsia="宋体"/>
          <w:b/>
          <w:color w:val="000000" w:themeColor="text1"/>
          <w:sz w:val="26"/>
          <w:szCs w:val="26"/>
        </w:rPr>
      </w:pPr>
      <w:r>
        <w:rPr>
          <w:rFonts w:hint="eastAsia" w:eastAsia="宋体"/>
          <w:b/>
          <w:color w:val="000000" w:themeColor="text1"/>
          <w:sz w:val="26"/>
          <w:szCs w:val="26"/>
        </w:rPr>
        <w:t>十八、审核报告的发放范围</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lang w:val="en-US" w:eastAsia="zh-CN"/>
        </w:rPr>
        <w:t xml:space="preserve">         </w:t>
      </w:r>
      <w:r>
        <w:rPr>
          <w:rFonts w:hint="eastAsia"/>
          <w:b/>
          <w:color w:val="000000" w:themeColor="text1"/>
        </w:rPr>
        <w:t>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hint="eastAsia" w:ascii="宋体" w:hAnsi="宋体"/>
          <w:b/>
          <w:color w:val="000000" w:themeColor="text1"/>
          <w:sz w:val="26"/>
          <w:szCs w:val="26"/>
        </w:rPr>
      </w:pPr>
    </w:p>
    <w:p>
      <w:pPr>
        <w:spacing w:line="360" w:lineRule="auto"/>
        <w:ind w:left="202" w:leftChars="-405" w:hanging="1052" w:hangingChars="403"/>
        <w:rPr>
          <w:rFonts w:hint="eastAsia" w:eastAsia="宋体"/>
          <w:b/>
          <w:color w:val="000000" w:themeColor="text1"/>
          <w:sz w:val="26"/>
          <w:szCs w:val="26"/>
        </w:rPr>
      </w:pPr>
      <w:r>
        <w:rPr>
          <w:rFonts w:hint="eastAsia" w:eastAsia="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9"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9"/>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2EFB11"/>
    <w:multiLevelType w:val="singleLevel"/>
    <w:tmpl w:val="912EFB11"/>
    <w:lvl w:ilvl="0" w:tentative="0">
      <w:start w:val="4"/>
      <w:numFmt w:val="decimal"/>
      <w:lvlText w:val="%1."/>
      <w:lvlJc w:val="left"/>
      <w:pPr>
        <w:tabs>
          <w:tab w:val="left" w:pos="312"/>
        </w:tabs>
      </w:pPr>
    </w:lvl>
  </w:abstractNum>
  <w:abstractNum w:abstractNumId="1">
    <w:nsid w:val="C74FEE95"/>
    <w:multiLevelType w:val="singleLevel"/>
    <w:tmpl w:val="C74FEE95"/>
    <w:lvl w:ilvl="0" w:tentative="0">
      <w:start w:val="2"/>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3C046C"/>
    <w:rsid w:val="1CE718F7"/>
    <w:rsid w:val="3C32210C"/>
    <w:rsid w:val="3C9A0372"/>
    <w:rsid w:val="46DD68AB"/>
    <w:rsid w:val="60E54F6B"/>
    <w:rsid w:val="647437DC"/>
    <w:rsid w:val="79A520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7</TotalTime>
  <ScaleCrop>false</ScaleCrop>
  <LinksUpToDate>false</LinksUpToDate>
  <CharactersWithSpaces>5143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2020-11-26T08:03:40Z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