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杭州品尚保安服务有限公司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杭州品尚保安服务有限公司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浙江省杭州临江高新区科创大道纬五路3688号1幢4楼</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浙江省杭州市余杭区五常街道盛奥铭座2幢2单元13楼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王香玉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0571-88970185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焦德尚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李顺坡</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保安服务（门卫、巡逻、守护、随身护卫、安全检查）及相关活动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35.12.00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19" w:name="体系运行时间"/>
            <w:bookmarkEnd w:id="19"/>
            <w:r>
              <w:rPr>
                <w:rFonts w:hint="eastAsia" w:ascii="宋体" w:hAnsi="宋体"/>
                <w:b/>
                <w:color w:val="000000" w:themeColor="text1"/>
                <w:sz w:val="20"/>
                <w:szCs w:val="20"/>
                <w:lang w:val="en-US" w:eastAsia="zh-CN"/>
              </w:rPr>
              <w:t>2020-6-1</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见多场所清单</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内外部环境、风险识别、资源支持、内审管理</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rPr>
              <w:t>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综合办公室</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lang w:val="en-US" w:eastAsia="zh-CN"/>
              </w:rPr>
              <w:t>公司办公</w:t>
            </w:r>
            <w:r>
              <w:rPr>
                <w:rFonts w:hint="eastAsia" w:cs="宋体" w:asciiTheme="minorEastAsia" w:hAnsiTheme="minorEastAsia" w:eastAsiaTheme="minorEastAsia"/>
                <w:sz w:val="20"/>
                <w:szCs w:val="20"/>
              </w:rPr>
              <w:t>基础设施、过程环境</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rPr>
              <w:t>资源提供与管理过程控制；内外部信息交流过程；</w:t>
            </w:r>
            <w:r>
              <w:rPr>
                <w:rFonts w:hint="eastAsia" w:cs="宋体" w:asciiTheme="minorEastAsia" w:hAnsiTheme="minorEastAsia" w:eastAsiaTheme="minorEastAsia"/>
                <w:sz w:val="20"/>
                <w:szCs w:val="20"/>
                <w:lang w:val="en-US" w:eastAsia="zh-CN"/>
              </w:rPr>
              <w:t>文件管理、</w:t>
            </w:r>
            <w:r>
              <w:rPr>
                <w:rFonts w:hint="eastAsia" w:cs="宋体" w:asciiTheme="minorEastAsia" w:hAnsiTheme="minorEastAsia" w:eastAsiaTheme="minorEastAsia"/>
                <w:sz w:val="20"/>
                <w:szCs w:val="20"/>
              </w:rPr>
              <w:t>内外部信息交流、采购过程、销售过程、客户满意相关等过程；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保安部</w:t>
            </w:r>
          </w:p>
        </w:tc>
        <w:tc>
          <w:tcPr>
            <w:tcW w:w="6804" w:type="dxa"/>
            <w:vAlign w:val="top"/>
          </w:tcPr>
          <w:p>
            <w:pPr>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rPr>
              <w:t>基础设施、过程环境、</w:t>
            </w:r>
            <w:r>
              <w:rPr>
                <w:rFonts w:hint="eastAsia" w:cs="宋体" w:asciiTheme="minorEastAsia" w:hAnsiTheme="minorEastAsia" w:eastAsiaTheme="minorEastAsia"/>
                <w:sz w:val="20"/>
                <w:szCs w:val="20"/>
                <w:lang w:val="en-US" w:eastAsia="zh-CN"/>
              </w:rPr>
              <w:t>服务实</w:t>
            </w:r>
            <w:r>
              <w:rPr>
                <w:rFonts w:hint="eastAsia" w:cs="宋体" w:asciiTheme="minorEastAsia" w:hAnsiTheme="minorEastAsia" w:eastAsiaTheme="minorEastAsia"/>
                <w:sz w:val="20"/>
                <w:szCs w:val="20"/>
              </w:rPr>
              <w:t>现过程控制</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服务日常检查、不合格服务工作控制等；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教育培训部</w:t>
            </w:r>
          </w:p>
        </w:tc>
        <w:tc>
          <w:tcPr>
            <w:tcW w:w="6804" w:type="dxa"/>
            <w:vAlign w:val="top"/>
          </w:tcPr>
          <w:p>
            <w:pPr>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rPr>
              <w:t>人力资源管理过程</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 xml:space="preserve">服务人员培训教育过程控制；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lang w:val="en-US" w:eastAsia="zh-CN"/>
              </w:rPr>
              <w:t>财务部</w:t>
            </w:r>
          </w:p>
        </w:tc>
        <w:tc>
          <w:tcPr>
            <w:tcW w:w="6804" w:type="dxa"/>
            <w:vAlign w:val="top"/>
          </w:tcPr>
          <w:p>
            <w:pPr>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 xml:space="preserve"> 相关财务投入统计等； </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杭州市公安分局西湖分局</w:t>
            </w:r>
          </w:p>
        </w:tc>
        <w:tc>
          <w:tcPr>
            <w:tcW w:w="3249" w:type="dxa"/>
            <w:vAlign w:val="top"/>
          </w:tcPr>
          <w:p>
            <w:pP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保安服务</w:t>
            </w:r>
          </w:p>
        </w:tc>
        <w:tc>
          <w:tcPr>
            <w:tcW w:w="3555" w:type="dxa"/>
            <w:vAlign w:val="top"/>
          </w:tcPr>
          <w:p>
            <w:pP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西湖区晴川街123号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浙江省妇女干部学校</w:t>
            </w:r>
          </w:p>
        </w:tc>
        <w:tc>
          <w:tcPr>
            <w:tcW w:w="3249" w:type="dxa"/>
            <w:vAlign w:val="top"/>
          </w:tcPr>
          <w:p>
            <w:pPr>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保安服务</w:t>
            </w:r>
          </w:p>
        </w:tc>
        <w:tc>
          <w:tcPr>
            <w:tcW w:w="3555" w:type="dxa"/>
            <w:vAlign w:val="top"/>
          </w:tcPr>
          <w:p>
            <w:pPr>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西湖区翠苑三区翠柏路10号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hint="eastAsia" w:ascii="Times New Roman" w:hAnsi="Times New Roman" w:cs="Times New Roman"/>
                <w:color w:val="000000"/>
                <w:lang w:val="en-US" w:eastAsia="zh-CN"/>
              </w:rPr>
            </w:pPr>
          </w:p>
        </w:tc>
        <w:tc>
          <w:tcPr>
            <w:tcW w:w="3249" w:type="dxa"/>
          </w:tcPr>
          <w:p>
            <w:pPr>
              <w:rPr>
                <w:rFonts w:hint="eastAsia" w:ascii="Times New Roman" w:hAnsi="Times New Roman" w:cs="Times New Roman"/>
                <w:color w:val="000000"/>
                <w:lang w:val="en-US" w:eastAsia="zh-CN"/>
              </w:rPr>
            </w:pPr>
          </w:p>
        </w:tc>
        <w:tc>
          <w:tcPr>
            <w:tcW w:w="3555" w:type="dxa"/>
          </w:tcPr>
          <w:p>
            <w:pPr>
              <w:rPr>
                <w:rFonts w:hint="eastAsia" w:ascii="Times New Roman" w:hAnsi="Times New Roman" w:cs="Times New Roman"/>
                <w:color w:val="000000"/>
                <w:lang w:val="en-US" w:eastAsia="zh-CN"/>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保安服务</w:t>
            </w:r>
          </w:p>
        </w:tc>
        <w:tc>
          <w:tcPr>
            <w:tcW w:w="2519" w:type="dxa"/>
            <w:vAlign w:val="top"/>
          </w:tcPr>
          <w:p>
            <w:pPr>
              <w:rPr>
                <w:rFonts w:hint="default" w:ascii="Times New Roman" w:hAnsi="Times New Roman" w:cs="Times New Roman"/>
                <w:color w:val="000000"/>
                <w:lang w:val="en-US" w:eastAsia="zh-CN"/>
              </w:rPr>
            </w:pPr>
          </w:p>
        </w:tc>
        <w:tc>
          <w:tcPr>
            <w:tcW w:w="1843" w:type="dxa"/>
            <w:vAlign w:val="top"/>
          </w:tcPr>
          <w:p>
            <w:pPr>
              <w:rPr>
                <w:rFonts w:hint="default" w:ascii="Times New Roman" w:hAnsi="Times New Roman" w:cs="Times New Roman"/>
                <w:color w:val="000000"/>
                <w:lang w:val="en-US" w:eastAsia="zh-CN"/>
              </w:rPr>
            </w:pPr>
          </w:p>
        </w:tc>
        <w:tc>
          <w:tcPr>
            <w:tcW w:w="3543" w:type="dxa"/>
          </w:tcPr>
          <w:p>
            <w:pPr>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浙江省保安管理条例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top"/>
          </w:tcPr>
          <w:p>
            <w:pPr>
              <w:rPr>
                <w:rFonts w:hint="eastAsia" w:ascii="Times New Roman" w:hAnsi="Times New Roman" w:cs="Times New Roman"/>
                <w:color w:val="000000"/>
                <w:lang w:val="en-US" w:eastAsia="zh-CN"/>
              </w:rPr>
            </w:pPr>
          </w:p>
        </w:tc>
        <w:tc>
          <w:tcPr>
            <w:tcW w:w="2519" w:type="dxa"/>
            <w:vAlign w:val="top"/>
          </w:tcPr>
          <w:p>
            <w:pPr>
              <w:rPr>
                <w:rFonts w:hint="eastAsia" w:ascii="Times New Roman" w:hAnsi="Times New Roman" w:cs="Times New Roman"/>
                <w:color w:val="000000"/>
                <w:lang w:val="en-US" w:eastAsia="zh-CN"/>
              </w:rPr>
            </w:pPr>
          </w:p>
        </w:tc>
        <w:tc>
          <w:tcPr>
            <w:tcW w:w="1843" w:type="dxa"/>
            <w:vAlign w:val="top"/>
          </w:tcPr>
          <w:p>
            <w:pPr>
              <w:rPr>
                <w:rFonts w:hint="eastAsia" w:ascii="Times New Roman" w:hAnsi="Times New Roman" w:cs="Times New Roman"/>
                <w:color w:val="000000"/>
                <w:lang w:val="en-US" w:eastAsia="zh-CN"/>
              </w:rPr>
            </w:pPr>
          </w:p>
        </w:tc>
        <w:tc>
          <w:tcPr>
            <w:tcW w:w="3543" w:type="dxa"/>
          </w:tcPr>
          <w:p>
            <w:pPr>
              <w:rPr>
                <w:rFonts w:hint="eastAsia" w:ascii="Times New Roman" w:hAnsi="Times New Roman" w:cs="Times New Roman"/>
                <w:color w:val="000000"/>
                <w:lang w:val="en-US" w:eastAsia="zh-CN"/>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审核日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17"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cs="宋体" w:asciiTheme="minorEastAsia" w:hAnsiTheme="minorEastAsia" w:eastAsiaTheme="minorEastAsia"/>
                <w:sz w:val="20"/>
                <w:szCs w:val="20"/>
                <w:lang w:val="en-US" w:eastAsia="zh-CN"/>
              </w:rPr>
              <w:t>在手册4.1条中描述组织及其环境的识别情况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17"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val="en-US" w:eastAsia="zh-CN"/>
              </w:rPr>
              <w:t xml:space="preserve">     </w:t>
            </w:r>
            <w:r>
              <w:rPr>
                <w:rFonts w:hint="eastAsia" w:cs="宋体" w:asciiTheme="minorEastAsia" w:hAnsiTheme="minorEastAsia" w:eastAsiaTheme="minorEastAsia"/>
                <w:sz w:val="20"/>
                <w:szCs w:val="20"/>
                <w:lang w:val="en-US" w:eastAsia="zh-CN"/>
              </w:rPr>
              <w:t>手册4.2条中识别相关方的需求和期望。公司的相关方包括：顾客、供方、委托方、员工、政府部门、咨询单位，以及其他人员；公司各相关部门建立管理文件，分别对相关方的需求及期望进行识别确认，并对这类需求 及要求等进行管理及定期更新，保持有效性。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17"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A3"/>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A3"/>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制定</w:t>
            </w:r>
            <w:r>
              <w:rPr>
                <w:rFonts w:hint="eastAsia" w:cs="宋体" w:asciiTheme="minorEastAsia" w:hAnsiTheme="minorEastAsia" w:eastAsiaTheme="minorEastAsia"/>
                <w:sz w:val="20"/>
                <w:szCs w:val="20"/>
                <w:lang w:val="en-US" w:eastAsia="zh-CN"/>
              </w:rPr>
              <w:t>质量</w:t>
            </w:r>
            <w:r>
              <w:rPr>
                <w:rFonts w:hint="eastAsia" w:cs="宋体" w:asciiTheme="minorEastAsia" w:hAnsiTheme="minorEastAsia" w:eastAsiaTheme="minorEastAsia"/>
                <w:sz w:val="20"/>
                <w:szCs w:val="20"/>
                <w:lang w:eastAsia="zh-CN"/>
              </w:rPr>
              <w:t>方针，</w:t>
            </w:r>
            <w:r>
              <w:rPr>
                <w:rFonts w:hint="eastAsia" w:cs="宋体" w:asciiTheme="minorEastAsia" w:hAnsiTheme="minorEastAsia" w:eastAsiaTheme="minorEastAsia"/>
                <w:sz w:val="20"/>
                <w:szCs w:val="20"/>
                <w:lang w:val="en-US" w:eastAsia="zh-CN"/>
              </w:rPr>
              <w:t>见管理手册</w:t>
            </w:r>
            <w:r>
              <w:rPr>
                <w:rFonts w:hint="eastAsia" w:cs="宋体" w:asciiTheme="minorEastAsia" w:hAnsiTheme="minorEastAsia" w:eastAsiaTheme="minorEastAsia"/>
                <w:sz w:val="20"/>
                <w:szCs w:val="20"/>
                <w:lang w:eastAsia="zh-CN"/>
              </w:rPr>
              <w:t>。</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通过内部沟通、员工代表参与、管理评审等活动验证组织方针的适宜性和持续适宜性。</w:t>
            </w:r>
          </w:p>
          <w:p>
            <w:pPr>
              <w:ind w:firstLine="400" w:firstLineChars="200"/>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17" w:type="dxa"/>
          </w:tcPr>
          <w:p>
            <w:pPr>
              <w:spacing w:line="280" w:lineRule="exact"/>
              <w:rPr>
                <w:rFonts w:hint="eastAsia"/>
                <w:b/>
                <w:color w:val="000000" w:themeColor="text1"/>
              </w:rPr>
            </w:pPr>
            <w:r>
              <w:rPr>
                <w:rFonts w:hint="eastAsia" w:ascii="Times New Roman" w:hAnsi="Times New Roman" w:cs="Times New Roman"/>
                <w:b/>
                <w:color w:val="000000" w:themeColor="text1"/>
                <w:spacing w:val="-10"/>
                <w:sz w:val="20"/>
                <w:szCs w:val="20"/>
                <w:lang w:val="en-US" w:eastAsia="zh-CN"/>
              </w:rPr>
              <w:t>4.</w:t>
            </w:r>
            <w:r>
              <w:rPr>
                <w:rFonts w:hint="eastAsia" w:ascii="Times New Roman" w:hAnsi="Times New Roman" w:cs="Times New Roman"/>
                <w:b/>
                <w:color w:val="000000" w:themeColor="text1"/>
                <w:spacing w:val="-10"/>
                <w:sz w:val="20"/>
                <w:szCs w:val="20"/>
              </w:rPr>
              <w:t>风险</w:t>
            </w:r>
            <w:r>
              <w:rPr>
                <w:rFonts w:hint="eastAsia"/>
                <w:b/>
                <w:color w:val="000000" w:themeColor="text1"/>
              </w:rPr>
              <w:t>识别与控制策划（QMS）</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公司制定管理手册中，明确风险和机遇事件的识别方法</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途径、风险和机遇事件的评估方式、制定主要风险和机遇事件的应对措施的要求、评价这些措施有效性的方法。</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提供“风险与机遇评价与应对策划表”，按照</w:t>
            </w:r>
            <w:r>
              <w:rPr>
                <w:rFonts w:hint="eastAsia" w:cs="宋体" w:asciiTheme="minorEastAsia" w:hAnsiTheme="minorEastAsia" w:eastAsiaTheme="minorEastAsia"/>
                <w:sz w:val="20"/>
                <w:szCs w:val="20"/>
                <w:lang w:val="en-US" w:eastAsia="zh-CN"/>
              </w:rPr>
              <w:t>业务、服务提供</w:t>
            </w:r>
            <w:r>
              <w:rPr>
                <w:rFonts w:hint="eastAsia" w:cs="宋体" w:asciiTheme="minorEastAsia" w:hAnsiTheme="minorEastAsia" w:eastAsiaTheme="minorEastAsia"/>
                <w:sz w:val="20"/>
                <w:szCs w:val="20"/>
              </w:rPr>
              <w:t>、采购、支持过程</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部门对风险和机遇进行了评价识别，并制定应对措施。</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风险机遇识别基本充分，应对风险和机遇的措施基本适宜。</w:t>
            </w:r>
          </w:p>
          <w:p>
            <w:pPr>
              <w:numPr>
                <w:ilvl w:val="0"/>
                <w:numId w:val="0"/>
              </w:numPr>
              <w:spacing w:line="240" w:lineRule="exact"/>
              <w:ind w:leftChars="0"/>
              <w:rPr>
                <w:rFonts w:hint="eastAsia"/>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numPr>
                <w:ilvl w:val="0"/>
                <w:numId w:val="0"/>
              </w:numPr>
              <w:spacing w:line="240" w:lineRule="exact"/>
              <w:ind w:leftChars="0"/>
              <w:rPr>
                <w:rFonts w:ascii="宋体" w:hAnsi="宋体"/>
                <w:b/>
                <w:color w:val="000000" w:themeColor="text1"/>
                <w:sz w:val="20"/>
                <w:szCs w:val="20"/>
              </w:rPr>
            </w:pPr>
            <w:r>
              <w:rPr>
                <w:rFonts w:hint="eastAsia"/>
                <w:b/>
                <w:color w:val="000000" w:themeColor="text1"/>
                <w:sz w:val="20"/>
                <w:szCs w:val="20"/>
              </w:rPr>
              <w:t>5.</w:t>
            </w:r>
            <w:r>
              <w:rPr>
                <w:rFonts w:hint="eastAsia" w:ascii="Times New Roman" w:hAnsi="Times New Roman" w:cs="Times New Roman"/>
                <w:b/>
                <w:color w:val="000000" w:themeColor="text1"/>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保安服务提供</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保安服务提供过程；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会议、内部微信群等</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00" w:firstLineChars="2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公司建立质量目标，并在各个部门建立质量分目标；与方针一致，符合公司总的质量目标，进行了统计及目标实现分析，经查，达成目标，并将管理目标完成情况在公司会议上进行通报。</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提供《目标指标和管理方案》《目标指标和管理方案考核表》</w:t>
            </w:r>
          </w:p>
          <w:p>
            <w:pPr>
              <w:spacing w:line="240" w:lineRule="exact"/>
              <w:rPr>
                <w:rFonts w:ascii="宋体" w:hAnsi="宋体"/>
                <w:b/>
                <w:color w:val="000000" w:themeColor="text1"/>
              </w:rPr>
            </w:pPr>
            <w:r>
              <w:rPr>
                <w:rFonts w:hint="eastAsia" w:cs="Times New Roman" w:asciiTheme="minorEastAsia" w:hAnsiTheme="minorEastAsia" w:eastAsiaTheme="minorEastAsia"/>
                <w:color w:val="000000"/>
                <w:kern w:val="2"/>
                <w:sz w:val="20"/>
                <w:szCs w:val="20"/>
                <w:lang w:val="en-US" w:eastAsia="zh-CN" w:bidi="ar-SA"/>
              </w:rPr>
              <w:t>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受审核方建立的管理体系文件包括：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 xml:space="preserve">1.管理手册 ，发布时间：2020.6.1   实施时间2020.6.1   </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2.程序文件，包括标准要求的形成文件的信息。</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3.管理制度和操作流程，包括作业指导书等。</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4.体系运行所需要的文件和记录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编制了《文件控制程序》，用于对管理体系文件，符合标准要求。</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查办公室管理手册、管理制度等文件均保管良好，为有效版本，有受控标识。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办公室负责收集有关产品的国家标准、行业标准的最新版本，分发到相关部门使用；收回旧标准。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查见《法律法规清单》，内容包括：序号、文件名称、编号、版本等，收集基本全面，基本符合。</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以上外来文件保管良好，均为有效版本。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查见《记录清单》，内容包括：序号、记录名称、编号、保存期、使用部门等。</w:t>
            </w:r>
          </w:p>
          <w:p>
            <w:pPr>
              <w:tabs>
                <w:tab w:val="left" w:pos="540"/>
              </w:tabs>
              <w:spacing w:line="240" w:lineRule="exact"/>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17"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00" w:firstLineChars="200"/>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保安服务人员上岗前经过岗前培训，业务人员及办公管理人员均经过专业培训。保安服务提供过程人员，均取得浙江省公安厅颁发的保安资格证。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17"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cs="Times New Roman" w:asciiTheme="minorEastAsia" w:hAnsiTheme="minorEastAsia" w:eastAsiaTheme="minorEastAsia"/>
                <w:color w:val="000000"/>
                <w:kern w:val="2"/>
                <w:sz w:val="20"/>
                <w:szCs w:val="20"/>
                <w:lang w:val="en-US" w:eastAsia="zh-CN" w:bidi="ar-SA"/>
              </w:rPr>
            </w:pPr>
            <w:r>
              <w:rPr>
                <w:rFonts w:hint="eastAsia" w:ascii="宋体" w:hAnsi="宋体"/>
                <w:b/>
                <w:color w:val="000000" w:themeColor="text1"/>
                <w:sz w:val="20"/>
                <w:szCs w:val="20"/>
                <w:lang w:val="en-US" w:eastAsia="zh-CN"/>
              </w:rPr>
              <w:t xml:space="preserve">  </w:t>
            </w:r>
            <w:r>
              <w:rPr>
                <w:rFonts w:hint="eastAsia" w:cs="Times New Roman" w:asciiTheme="minorEastAsia" w:hAnsiTheme="minorEastAsia" w:eastAsiaTheme="minorEastAsia"/>
                <w:color w:val="000000"/>
                <w:kern w:val="2"/>
                <w:sz w:val="20"/>
                <w:szCs w:val="20"/>
                <w:lang w:val="en-US" w:eastAsia="zh-CN" w:bidi="ar-SA"/>
              </w:rPr>
              <w:t xml:space="preserve"> 办公过程设备设施完善；服务过程所用的工具（钢叉、盾牌等）缺少维护记录；服务场所其他的设备设施为甲方所有；监控系统未提供有效性确认。</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17"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w:t>
            </w:r>
            <w:r>
              <w:rPr>
                <w:rFonts w:hint="eastAsia" w:cs="Times New Roman" w:asciiTheme="minorEastAsia" w:hAnsiTheme="minorEastAsia" w:eastAsiaTheme="minorEastAsia"/>
                <w:color w:val="000000"/>
                <w:kern w:val="2"/>
                <w:sz w:val="20"/>
                <w:szCs w:val="20"/>
                <w:lang w:val="en-US" w:eastAsia="zh-CN" w:bidi="ar-SA"/>
              </w:rPr>
              <w:t xml:space="preserve">服务过程过程场所为甲方所有；服务环境基本得到甲方的认可。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17"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eastAsia="宋体"/>
                <w:b/>
                <w:color w:val="000000" w:themeColor="text1"/>
                <w:sz w:val="20"/>
                <w:szCs w:val="20"/>
                <w:lang w:val="en-US" w:eastAsia="zh-CN"/>
              </w:rPr>
            </w:pPr>
            <w:r>
              <w:rPr>
                <w:rFonts w:hint="eastAsia" w:cs="Times New Roman" w:asciiTheme="minorEastAsia" w:hAnsiTheme="minorEastAsia" w:eastAsiaTheme="minorEastAsia"/>
                <w:color w:val="000000"/>
                <w:kern w:val="2"/>
                <w:sz w:val="20"/>
                <w:szCs w:val="20"/>
                <w:lang w:val="en-US" w:eastAsia="zh-CN" w:bidi="ar-SA"/>
              </w:rPr>
              <w:t>保安服务过程无测量设备；监控系统为甲方所有；由公司使用。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17"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200" w:firstLineChars="100"/>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企业运行过程所需的知识从内部来源获取的有：公司业务、保安服务人员有以往多年工作经验，公司老员工负有对新员工进行的传帮带经验传授的职责。外部来源获取有：管理体系辅导老师传授的体系知识及所实施的培训；主管部门要求；行业会议；人员的专业经历、外部供方的产品知识及相关标准、社会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17"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17"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17"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rFonts w:hint="eastAsia"/>
                <w:b/>
                <w:color w:val="000000" w:themeColor="text1"/>
                <w:sz w:val="20"/>
                <w:szCs w:val="20"/>
              </w:rPr>
            </w:pPr>
            <w:r>
              <w:rPr>
                <w:rFonts w:hint="eastAsia" w:asciiTheme="minorEastAsia" w:hAnsiTheme="minorEastAsia" w:eastAsiaTheme="minorEastAsia"/>
                <w:szCs w:val="22"/>
              </w:rPr>
              <w:t>根据组织宗旨制定了管理体系方针，进行了有效沟通，在管理评审时进行评审，符合要求</w:t>
            </w:r>
            <w:r>
              <w:rPr>
                <w:rFonts w:hint="eastAsia"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numPr>
                <w:ilvl w:val="0"/>
                <w:numId w:val="4"/>
              </w:numPr>
              <w:spacing w:line="240" w:lineRule="exact"/>
              <w:ind w:left="159" w:hanging="159" w:hangingChars="79"/>
              <w:rPr>
                <w:rFonts w:hint="eastAsia"/>
                <w:b/>
                <w:color w:val="000000" w:themeColor="text1"/>
                <w:sz w:val="20"/>
                <w:szCs w:val="20"/>
              </w:rPr>
            </w:pPr>
            <w:r>
              <w:rPr>
                <w:rFonts w:hint="eastAsia"/>
                <w:b/>
                <w:color w:val="000000" w:themeColor="text1"/>
                <w:sz w:val="20"/>
                <w:szCs w:val="20"/>
              </w:rPr>
              <w:t>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numPr>
                <w:numId w:val="0"/>
              </w:numPr>
              <w:spacing w:line="240" w:lineRule="exact"/>
              <w:ind w:leftChars="-79"/>
              <w:rPr>
                <w:rFonts w:hint="eastAsia"/>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内部沟通的情况：内部沟通方式：</w:t>
            </w:r>
            <w:r>
              <w:rPr>
                <w:rFonts w:hint="eastAsia" w:ascii="楷体_GB2312" w:eastAsia="楷体_GB2312"/>
                <w:b/>
                <w:color w:val="000000" w:themeColor="text1"/>
                <w:sz w:val="20"/>
                <w:szCs w:val="20"/>
                <w:lang w:val="en-US" w:eastAsia="zh-CN"/>
              </w:rPr>
              <w:t>会议、电话、网络会议、微信群等</w:t>
            </w: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基本解决问题，公司正常运转。</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b/>
                <w:color w:val="000000" w:themeColor="text1"/>
                <w:sz w:val="20"/>
                <w:szCs w:val="20"/>
                <w:lang w:val="en-US" w:eastAsia="zh-CN"/>
              </w:rPr>
              <w:t>以顾客为关注焦点，从业务中标签订合同开始到保安服务过程中，记录甲方要求，及时做好记录反馈到公司总部。</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0" w:firstLineChars="2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公司依据</w:t>
            </w:r>
            <w:r>
              <w:rPr>
                <w:rFonts w:hint="eastAsia" w:asciiTheme="minorEastAsia" w:hAnsiTheme="minorEastAsia" w:eastAsiaTheme="minorEastAsia"/>
                <w:color w:val="000000"/>
                <w:sz w:val="20"/>
                <w:szCs w:val="20"/>
                <w:lang w:val="en-US" w:eastAsia="zh-CN"/>
              </w:rPr>
              <w:t>合同</w:t>
            </w:r>
            <w:r>
              <w:rPr>
                <w:rFonts w:hint="eastAsia" w:asciiTheme="minorEastAsia" w:hAnsiTheme="minorEastAsia" w:eastAsiaTheme="minorEastAsia"/>
                <w:color w:val="000000"/>
                <w:sz w:val="20"/>
                <w:szCs w:val="20"/>
              </w:rPr>
              <w:t>订单，</w:t>
            </w:r>
            <w:r>
              <w:rPr>
                <w:rFonts w:hint="eastAsia" w:asciiTheme="minorEastAsia" w:hAnsiTheme="minorEastAsia" w:eastAsiaTheme="minorEastAsia"/>
                <w:color w:val="000000"/>
                <w:sz w:val="20"/>
                <w:szCs w:val="20"/>
                <w:lang w:val="en-US" w:eastAsia="zh-CN"/>
              </w:rPr>
              <w:t>编制保安服务方案</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val="en-US" w:eastAsia="zh-CN"/>
              </w:rPr>
              <w:t>经客户确认后，签订服务合同，人员进场；提供安保服务</w:t>
            </w:r>
            <w:r>
              <w:rPr>
                <w:rFonts w:hint="eastAsia" w:asciiTheme="minorEastAsia" w:hAnsiTheme="minorEastAsia" w:eastAsiaTheme="minorEastAsia"/>
                <w:color w:val="000000"/>
                <w:sz w:val="20"/>
                <w:szCs w:val="20"/>
              </w:rPr>
              <w:t>。</w:t>
            </w:r>
          </w:p>
          <w:p>
            <w:pPr>
              <w:spacing w:line="240" w:lineRule="exact"/>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rPr>
              <w:t>通过</w:t>
            </w:r>
            <w:r>
              <w:rPr>
                <w:rFonts w:hint="eastAsia" w:asciiTheme="minorEastAsia" w:hAnsiTheme="minorEastAsia" w:eastAsiaTheme="minorEastAsia"/>
                <w:color w:val="000000"/>
                <w:sz w:val="20"/>
                <w:szCs w:val="20"/>
                <w:lang w:val="en-US" w:eastAsia="zh-CN"/>
              </w:rPr>
              <w:t xml:space="preserve">客户要求确认、现场服务人员、工作记录审查、现场过程检查等方式进行监控； </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val="en-US" w:eastAsia="zh-CN"/>
              </w:rPr>
              <w:t>编制了服务规范《保安服务管理制度》、</w:t>
            </w:r>
            <w:r>
              <w:rPr>
                <w:rFonts w:hint="eastAsia" w:asciiTheme="minorEastAsia" w:hAnsiTheme="minorEastAsia" w:eastAsiaTheme="minorEastAsia"/>
                <w:color w:val="000000"/>
                <w:sz w:val="20"/>
                <w:szCs w:val="20"/>
                <w:lang w:eastAsia="zh-CN"/>
              </w:rPr>
              <w:t>《</w:t>
            </w:r>
            <w:r>
              <w:rPr>
                <w:rFonts w:hint="eastAsia" w:asciiTheme="minorEastAsia" w:hAnsiTheme="minorEastAsia" w:eastAsiaTheme="minorEastAsia"/>
                <w:color w:val="000000"/>
                <w:sz w:val="20"/>
                <w:szCs w:val="20"/>
              </w:rPr>
              <w:t>保安巡逻管理制度</w:t>
            </w:r>
            <w:r>
              <w:rPr>
                <w:rFonts w:hint="eastAsia" w:asciiTheme="minorEastAsia" w:hAnsiTheme="minorEastAsia" w:eastAsiaTheme="minorEastAsia"/>
                <w:color w:val="000000"/>
                <w:sz w:val="20"/>
                <w:szCs w:val="20"/>
                <w:lang w:eastAsia="zh-CN"/>
              </w:rPr>
              <w:t>》</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eastAsia="zh-CN"/>
              </w:rPr>
              <w:t>《行为规范管理制度》、《小区物业保安规章制度》、《物业门卫管理制度》</w:t>
            </w:r>
            <w:r>
              <w:rPr>
                <w:rFonts w:hint="eastAsia" w:asciiTheme="minorEastAsia" w:hAnsiTheme="minorEastAsia" w:eastAsiaTheme="minorEastAsia"/>
                <w:color w:val="000000"/>
                <w:sz w:val="20"/>
                <w:szCs w:val="20"/>
                <w:lang w:val="en-US" w:eastAsia="zh-CN"/>
              </w:rPr>
              <w:t>等</w:t>
            </w:r>
            <w:r>
              <w:rPr>
                <w:rFonts w:hint="eastAsia" w:asciiTheme="minorEastAsia" w:hAnsiTheme="minorEastAsia" w:eastAsiaTheme="minorEastAsia"/>
                <w:color w:val="000000"/>
                <w:sz w:val="20"/>
                <w:szCs w:val="20"/>
              </w:rPr>
              <w:t>作业指导书实施了过程控制。</w:t>
            </w:r>
          </w:p>
          <w:p>
            <w:pPr>
              <w:spacing w:line="240" w:lineRule="exact"/>
              <w:rPr>
                <w:b/>
                <w:color w:val="000000" w:themeColor="text1"/>
                <w:sz w:val="20"/>
                <w:szCs w:val="20"/>
              </w:rPr>
            </w:pPr>
            <w:r>
              <w:rPr>
                <w:rFonts w:hint="eastAsia" w:asciiTheme="minorEastAsia" w:hAnsiTheme="minorEastAsia" w:eastAsiaTheme="minorEastAsia"/>
                <w:color w:val="000000"/>
                <w:sz w:val="20"/>
                <w:szCs w:val="20"/>
              </w:rPr>
              <w:t>对</w:t>
            </w:r>
            <w:r>
              <w:rPr>
                <w:rFonts w:hint="eastAsia" w:asciiTheme="minorEastAsia" w:hAnsiTheme="minorEastAsia" w:eastAsiaTheme="minorEastAsia"/>
                <w:color w:val="000000"/>
                <w:sz w:val="20"/>
                <w:szCs w:val="20"/>
                <w:lang w:val="en-US" w:eastAsia="zh-CN"/>
              </w:rPr>
              <w:t>整个服务提供</w:t>
            </w:r>
            <w:r>
              <w:rPr>
                <w:rFonts w:hint="eastAsia" w:asciiTheme="minorEastAsia" w:hAnsiTheme="minorEastAsia" w:eastAsiaTheme="minorEastAsia"/>
                <w:color w:val="000000"/>
                <w:sz w:val="20"/>
                <w:szCs w:val="20"/>
              </w:rPr>
              <w:t>过程进行了确认的证据。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ind w:firstLine="400" w:firstLineChars="200"/>
              <w:rPr>
                <w:rFonts w:hint="eastAsia" w:asciiTheme="minorEastAsia" w:hAnsiTheme="minorEastAsia" w:eastAsiaTheme="minorEastAsia"/>
                <w:color w:val="000000"/>
                <w:sz w:val="20"/>
                <w:szCs w:val="20"/>
                <w:lang w:val="zh-CN" w:eastAsia="zh-CN"/>
              </w:rPr>
            </w:pPr>
            <w:r>
              <w:rPr>
                <w:rFonts w:hint="eastAsia" w:asciiTheme="minorEastAsia" w:hAnsiTheme="minorEastAsia" w:eastAsiaTheme="minorEastAsia"/>
                <w:color w:val="000000"/>
                <w:sz w:val="20"/>
                <w:szCs w:val="20"/>
                <w:lang w:val="zh-CN" w:eastAsia="zh-CN"/>
              </w:rPr>
              <w:t>公司通过电话，走访等形式，接受顾客反馈，了解顾客满意度信息，发放调查表对顾客满意度进行定量测量。</w:t>
            </w:r>
          </w:p>
          <w:p>
            <w:pPr>
              <w:spacing w:line="240" w:lineRule="exact"/>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zh-CN" w:eastAsia="zh-CN"/>
              </w:rPr>
              <w:t>提供“顾客满意程度调查表”，调查结果满意度达到96</w:t>
            </w:r>
            <w:r>
              <w:rPr>
                <w:rFonts w:hint="eastAsia" w:asciiTheme="minorEastAsia" w:hAnsiTheme="minorEastAsia" w:eastAsiaTheme="minorEastAsia"/>
                <w:color w:val="000000"/>
                <w:sz w:val="20"/>
                <w:szCs w:val="20"/>
                <w:lang w:val="en-US" w:eastAsia="zh-CN"/>
              </w:rPr>
              <w:t>.5</w:t>
            </w:r>
            <w:r>
              <w:rPr>
                <w:rFonts w:hint="eastAsia" w:asciiTheme="minorEastAsia" w:hAnsiTheme="minorEastAsia" w:eastAsiaTheme="minorEastAsia"/>
                <w:color w:val="000000"/>
                <w:sz w:val="20"/>
                <w:szCs w:val="20"/>
                <w:lang w:val="zh-CN" w:eastAsia="zh-CN"/>
              </w:rPr>
              <w:t>%，满足目标要求。</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00" w:firstLineChars="200"/>
              <w:rPr>
                <w:rFonts w:hint="default"/>
                <w:b/>
                <w:color w:val="000000" w:themeColor="text1"/>
                <w:sz w:val="20"/>
                <w:szCs w:val="20"/>
                <w:lang w:val="en-US"/>
              </w:rPr>
            </w:pPr>
            <w:r>
              <w:rPr>
                <w:rFonts w:hint="eastAsia" w:asciiTheme="minorEastAsia" w:hAnsiTheme="minorEastAsia" w:eastAsiaTheme="minorEastAsia"/>
                <w:color w:val="000000"/>
                <w:sz w:val="20"/>
                <w:szCs w:val="20"/>
                <w:lang w:val="zh-CN" w:eastAsia="zh-CN"/>
              </w:rPr>
              <w:t>编制了不合格</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lang w:val="zh-CN" w:eastAsia="zh-CN"/>
              </w:rPr>
              <w:t>控制程序，对不合格</w:t>
            </w:r>
            <w:r>
              <w:rPr>
                <w:rFonts w:hint="eastAsia" w:asciiTheme="minorEastAsia" w:hAnsiTheme="minorEastAsia" w:eastAsiaTheme="minorEastAsia"/>
                <w:color w:val="000000"/>
                <w:sz w:val="20"/>
                <w:szCs w:val="20"/>
                <w:lang w:val="en-US" w:eastAsia="zh-CN"/>
              </w:rPr>
              <w:t>服务</w:t>
            </w:r>
            <w:r>
              <w:rPr>
                <w:rFonts w:hint="eastAsia" w:asciiTheme="minorEastAsia" w:hAnsiTheme="minorEastAsia" w:eastAsiaTheme="minorEastAsia"/>
                <w:color w:val="000000"/>
                <w:sz w:val="20"/>
                <w:szCs w:val="20"/>
                <w:lang w:val="zh-CN" w:eastAsia="zh-CN"/>
              </w:rPr>
              <w:t>进行了有效控制。</w:t>
            </w:r>
            <w:r>
              <w:rPr>
                <w:rFonts w:hint="eastAsia" w:asciiTheme="minorEastAsia" w:hAnsiTheme="minorEastAsia" w:eastAsiaTheme="minorEastAsia"/>
                <w:color w:val="000000"/>
                <w:sz w:val="20"/>
                <w:szCs w:val="20"/>
                <w:lang w:val="en-US" w:eastAsia="zh-CN"/>
              </w:rPr>
              <w:t>通过日常培训、知识总结等持续提升能力，减少日常不合格服务，提升服务满意度。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default" w:eastAsia="宋体"/>
                <w:b/>
                <w:color w:val="000000" w:themeColor="text1"/>
                <w:spacing w:val="-4"/>
                <w:sz w:val="20"/>
                <w:szCs w:val="20"/>
                <w:lang w:val="en-US" w:eastAsia="zh-CN"/>
              </w:rPr>
            </w:pPr>
            <w:r>
              <w:rPr>
                <w:rFonts w:hint="eastAsia"/>
                <w:b/>
                <w:color w:val="000000" w:themeColor="text1"/>
                <w:spacing w:val="-4"/>
                <w:sz w:val="20"/>
                <w:szCs w:val="20"/>
                <w:lang w:val="en-US" w:eastAsia="zh-CN"/>
              </w:rPr>
              <w:t xml:space="preserve">   </w:t>
            </w:r>
            <w:r>
              <w:rPr>
                <w:rFonts w:hint="eastAsia" w:asciiTheme="minorEastAsia" w:hAnsiTheme="minorEastAsia" w:eastAsiaTheme="minorEastAsia"/>
                <w:color w:val="000000"/>
                <w:sz w:val="20"/>
                <w:szCs w:val="20"/>
                <w:lang w:val="en-US" w:eastAsia="zh-CN"/>
              </w:rPr>
              <w:t xml:space="preserve"> 开展保安服务过程中可能出现的意外情况的应急演练。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ind w:firstLine="400" w:firstLineChars="200"/>
              <w:rPr>
                <w:rFonts w:hint="default" w:eastAsia="宋体"/>
                <w:b/>
                <w:color w:val="000000" w:themeColor="text1"/>
                <w:sz w:val="20"/>
                <w:szCs w:val="20"/>
                <w:lang w:val="en-US" w:eastAsia="zh-CN"/>
              </w:rPr>
            </w:pPr>
            <w:r>
              <w:rPr>
                <w:rFonts w:hint="eastAsia" w:asciiTheme="minorEastAsia" w:hAnsiTheme="minorEastAsia" w:eastAsiaTheme="minorEastAsia"/>
                <w:color w:val="000000"/>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17"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17"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eastAsia" w:asciiTheme="minorEastAsia" w:hAnsiTheme="minorEastAsia" w:eastAsiaTheme="minorEastAsia"/>
                <w:color w:val="000000"/>
                <w:sz w:val="20"/>
                <w:szCs w:val="20"/>
                <w:lang w:val="en-US" w:eastAsia="zh-CN"/>
              </w:rPr>
            </w:pPr>
            <w:r>
              <w:rPr>
                <w:rFonts w:hint="eastAsia"/>
                <w:b/>
                <w:color w:val="000000" w:themeColor="text1"/>
                <w:sz w:val="20"/>
                <w:szCs w:val="20"/>
                <w:lang w:val="en-US" w:eastAsia="zh-CN"/>
              </w:rPr>
              <w:t xml:space="preserve">    </w:t>
            </w:r>
            <w:r>
              <w:rPr>
                <w:rFonts w:hint="eastAsia" w:asciiTheme="minorEastAsia" w:hAnsiTheme="minorEastAsia" w:eastAsiaTheme="minorEastAsia"/>
                <w:color w:val="000000"/>
                <w:sz w:val="20"/>
                <w:szCs w:val="20"/>
                <w:lang w:val="en-US" w:eastAsia="zh-CN"/>
              </w:rPr>
              <w:t>公司收集和分析适当的数据，评价公司管理体系的适宜性和有效性，充分识别可以改进的机会</w:t>
            </w:r>
          </w:p>
          <w:p>
            <w:pPr>
              <w:spacing w:line="240" w:lineRule="exact"/>
              <w:rPr>
                <w:b/>
                <w:color w:val="000000" w:themeColor="text1"/>
                <w:sz w:val="20"/>
                <w:szCs w:val="20"/>
              </w:rPr>
            </w:pPr>
            <w:r>
              <w:rPr>
                <w:rFonts w:hint="eastAsia" w:asciiTheme="minorEastAsia" w:hAnsiTheme="minorEastAsia" w:eastAsiaTheme="minorEastAsia"/>
                <w:color w:val="000000"/>
                <w:sz w:val="20"/>
                <w:szCs w:val="20"/>
                <w:lang w:val="en-US" w:eastAsia="zh-CN"/>
              </w:rPr>
              <w:t>提供了公司质量管理体系运行情况报告，包括服务交付合格率、顾客满意率、运行过程控制、供方业绩评定、体系运行绩效情况等方面的汇总分析，工作成果符合预期效果，提出继续保持建议。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17" w:type="dxa"/>
          </w:tcPr>
          <w:p>
            <w:pPr>
              <w:numPr>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2 .</w:t>
            </w:r>
            <w:r>
              <w:rPr>
                <w:rFonts w:hint="eastAsia"/>
                <w:b/>
                <w:color w:val="000000" w:themeColor="text1"/>
                <w:sz w:val="20"/>
                <w:szCs w:val="20"/>
              </w:rPr>
              <w:t>顾客满意</w:t>
            </w:r>
          </w:p>
          <w:p>
            <w:pPr>
              <w:numPr>
                <w:numId w:val="0"/>
              </w:numPr>
              <w:spacing w:line="240" w:lineRule="exact"/>
              <w:ind w:leftChars="-79"/>
              <w:rPr>
                <w:rFonts w:hint="eastAsia"/>
                <w:b/>
                <w:color w:val="000000" w:themeColor="text1"/>
                <w:sz w:val="20"/>
                <w:szCs w:val="20"/>
              </w:rPr>
            </w:pPr>
          </w:p>
          <w:p>
            <w:pPr>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公司通过电话，走访等形式，接受顾客反馈，了解顾客满意度信息，发放调查表对顾客满意度进行定量测量。</w:t>
            </w:r>
          </w:p>
          <w:p>
            <w:pPr>
              <w:spacing w:line="240" w:lineRule="exact"/>
              <w:rPr>
                <w:rFonts w:asciiTheme="minorEastAsia" w:hAnsiTheme="minorEastAsia" w:eastAsiaTheme="minorEastAsia"/>
                <w:b/>
                <w:color w:val="000000"/>
                <w:sz w:val="20"/>
                <w:szCs w:val="20"/>
              </w:rPr>
            </w:pPr>
            <w:r>
              <w:rPr>
                <w:rFonts w:hint="eastAsia" w:asciiTheme="minorEastAsia" w:hAnsiTheme="minorEastAsia" w:eastAsiaTheme="minorEastAsia"/>
                <w:szCs w:val="21"/>
                <w:lang w:val="zh-CN"/>
              </w:rPr>
              <w:t>提供“顾客满意程度调查表”，顾客较满意。</w:t>
            </w:r>
          </w:p>
          <w:p>
            <w:pPr>
              <w:numPr>
                <w:numId w:val="0"/>
              </w:numPr>
              <w:spacing w:line="240" w:lineRule="exact"/>
              <w:ind w:leftChars="-79"/>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17"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ind w:firstLine="420" w:firstLineChars="200"/>
              <w:rPr>
                <w:rFonts w:asciiTheme="minorEastAsia" w:hAnsiTheme="minorEastAsia" w:eastAsiaTheme="minorEastAsia"/>
              </w:rPr>
            </w:pPr>
            <w:r>
              <w:rPr>
                <w:rFonts w:hint="eastAsia" w:asciiTheme="minorEastAsia" w:hAnsiTheme="minorEastAsia" w:eastAsiaTheme="minorEastAsia"/>
              </w:rPr>
              <w:t>公司制定《内部审核控制程序》，对内部审核方案策划规定：</w:t>
            </w: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频次：内审每年进行一次，两次内部审核的时间间隔不超过</w:t>
            </w:r>
            <w:r>
              <w:rPr>
                <w:rFonts w:asciiTheme="minorEastAsia" w:hAnsiTheme="minorEastAsia" w:eastAsiaTheme="minorEastAsia"/>
              </w:rPr>
              <w:t>12</w:t>
            </w:r>
            <w:r>
              <w:rPr>
                <w:rFonts w:hint="eastAsia" w:asciiTheme="minorEastAsia" w:hAnsiTheme="minorEastAsia" w:eastAsiaTheme="minorEastAsia"/>
              </w:rPr>
              <w:t>个月。</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方法：按部门</w:t>
            </w:r>
            <w:r>
              <w:rPr>
                <w:rFonts w:asciiTheme="minorEastAsia" w:hAnsiTheme="minorEastAsia" w:eastAsiaTheme="minorEastAsia"/>
              </w:rPr>
              <w:t>/</w:t>
            </w:r>
            <w:r>
              <w:rPr>
                <w:rFonts w:hint="eastAsia" w:asciiTheme="minorEastAsia" w:hAnsiTheme="minorEastAsia" w:eastAsiaTheme="minorEastAsia"/>
              </w:rPr>
              <w:t>过程审核。</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职责：体系负责人组织内部审核活动。</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策划要求：范围、准则、工作分配等。</w:t>
            </w:r>
          </w:p>
          <w:p>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报告：体系负责人在内部审核结束及纠正措施完成后应向总经理报告审核结果。</w:t>
            </w:r>
          </w:p>
          <w:p>
            <w:pPr>
              <w:rPr>
                <w:rFonts w:asciiTheme="minorEastAsia" w:hAnsiTheme="minorEastAsia" w:eastAsiaTheme="minorEastAsia"/>
                <w:szCs w:val="21"/>
              </w:rPr>
            </w:pPr>
            <w:r>
              <w:rPr>
                <w:rFonts w:asciiTheme="minorEastAsia" w:hAnsiTheme="minorEastAsia" w:eastAsiaTheme="minorEastAsia"/>
              </w:rPr>
              <w:t>6.</w:t>
            </w:r>
            <w:r>
              <w:rPr>
                <w:rFonts w:hint="eastAsia" w:asciiTheme="minorEastAsia" w:hAnsiTheme="minorEastAsia" w:eastAsiaTheme="minorEastAsia"/>
              </w:rPr>
              <w:t>提供了《</w:t>
            </w:r>
            <w:r>
              <w:rPr>
                <w:rFonts w:hint="eastAsia" w:asciiTheme="minorEastAsia" w:hAnsiTheme="minorEastAsia" w:eastAsiaTheme="minorEastAsia"/>
                <w:lang w:val="en-US" w:eastAsia="zh-CN"/>
              </w:rPr>
              <w:t>2020</w:t>
            </w:r>
            <w:r>
              <w:rPr>
                <w:rFonts w:hint="eastAsia" w:asciiTheme="minorEastAsia" w:hAnsiTheme="minorEastAsia" w:eastAsiaTheme="minorEastAsia"/>
              </w:rPr>
              <w:t>年内部审核实施计划》，发布了内部管理体系审核通知，计划内容有：目的、范围、审核准则、审核时间</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18~19</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szCs w:val="21"/>
              </w:rPr>
              <w:t>7</w:t>
            </w:r>
            <w:r>
              <w:rPr>
                <w:rFonts w:asciiTheme="minorEastAsia" w:hAnsiTheme="minorEastAsia" w:eastAsiaTheme="minorEastAsia"/>
              </w:rPr>
              <w:t>.</w:t>
            </w:r>
            <w:r>
              <w:rPr>
                <w:rFonts w:hint="eastAsia" w:asciiTheme="minorEastAsia" w:hAnsiTheme="minorEastAsia" w:eastAsiaTheme="minorEastAsia"/>
              </w:rPr>
              <w:t>提供了《内审检查表》，经查阅对照，受审核部门涉及条款与公司管理体系职责分配相一致。审核记录基本满足要求。</w:t>
            </w:r>
          </w:p>
          <w:p>
            <w:pPr>
              <w:spacing w:line="360" w:lineRule="exact"/>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提供了《内审不合格报告》针对发现的</w:t>
            </w:r>
            <w:r>
              <w:rPr>
                <w:rFonts w:hint="eastAsia" w:asciiTheme="minorEastAsia" w:hAnsiTheme="minorEastAsia" w:eastAsiaTheme="minorEastAsia"/>
                <w:lang w:val="en-US" w:eastAsia="zh-CN"/>
              </w:rPr>
              <w:t>2</w:t>
            </w:r>
            <w:r>
              <w:rPr>
                <w:rFonts w:hint="eastAsia" w:asciiTheme="minorEastAsia" w:hAnsiTheme="minorEastAsia" w:eastAsiaTheme="minorEastAsia"/>
              </w:rPr>
              <w:t>项不符合，进行了原因分析并制定纠正措施计划，经过审核组验证，纠正措施有效。</w:t>
            </w:r>
          </w:p>
          <w:p>
            <w:pPr>
              <w:spacing w:line="360" w:lineRule="exact"/>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提供《审核报告》审核报告中包括审核目的、审核范围、审核依据、审核内容摘要、审核结论等内容，对审核过程进行了综述。</w:t>
            </w:r>
          </w:p>
          <w:p>
            <w:pPr>
              <w:spacing w:line="240" w:lineRule="exact"/>
              <w:rPr>
                <w:b/>
                <w:color w:val="000000" w:themeColor="text1"/>
                <w:sz w:val="20"/>
                <w:szCs w:val="20"/>
              </w:rPr>
            </w:pPr>
            <w:r>
              <w:rPr>
                <w:rFonts w:hint="eastAsia" w:asciiTheme="minorEastAsia" w:hAnsiTheme="minorEastAsia" w:eastAsiaTheme="minorEastAsia"/>
              </w:rPr>
              <w:t>审核结论：</w:t>
            </w:r>
            <w:r>
              <w:rPr>
                <w:rFonts w:hint="eastAsia"/>
                <w:szCs w:val="21"/>
              </w:rPr>
              <w:t>公司建立的质量/环境/职业健康安全管理体系基本符合</w:t>
            </w:r>
            <w:r>
              <w:rPr>
                <w:rFonts w:cs="宋体" w:asciiTheme="minorEastAsia" w:hAnsiTheme="minorEastAsia" w:eastAsiaTheme="minorEastAsia"/>
                <w:szCs w:val="21"/>
              </w:rPr>
              <w:t>GB/T19001-2016\GB/T24001-2016\</w:t>
            </w:r>
            <w:r>
              <w:rPr>
                <w:rFonts w:hint="eastAsia" w:cs="宋体" w:asciiTheme="minorEastAsia" w:hAnsiTheme="minorEastAsia" w:eastAsiaTheme="minorEastAsia"/>
                <w:szCs w:val="21"/>
                <w:lang w:val="en-US" w:eastAsia="zh-CN"/>
              </w:rPr>
              <w:t>GB/T</w:t>
            </w:r>
            <w:r>
              <w:rPr>
                <w:rFonts w:cs="宋体" w:asciiTheme="minorEastAsia" w:hAnsiTheme="minorEastAsia" w:eastAsiaTheme="minorEastAsia"/>
                <w:szCs w:val="21"/>
              </w:rPr>
              <w:t>45001-20</w:t>
            </w:r>
            <w:r>
              <w:rPr>
                <w:rFonts w:hint="eastAsia" w:cs="宋体" w:asciiTheme="minorEastAsia" w:hAnsiTheme="minorEastAsia" w:eastAsiaTheme="minorEastAsia"/>
                <w:szCs w:val="21"/>
                <w:lang w:val="en-US" w:eastAsia="zh-CN"/>
              </w:rPr>
              <w:t>20</w:t>
            </w:r>
            <w:r>
              <w:rPr>
                <w:rFonts w:hint="eastAsia"/>
                <w:szCs w:val="21"/>
              </w:rPr>
              <w:t>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17"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ind w:firstLine="420" w:firstLineChars="200"/>
              <w:rPr>
                <w:rFonts w:hint="eastAsia" w:cs="Times New Roman" w:asciiTheme="minorEastAsia" w:hAnsiTheme="minorEastAsia" w:eastAsiaTheme="minorEastAsia"/>
              </w:rPr>
            </w:pPr>
            <w:r>
              <w:rPr>
                <w:rFonts w:hint="eastAsia" w:cs="Times New Roman" w:asciiTheme="minorEastAsia" w:hAnsiTheme="minorEastAsia" w:eastAsiaTheme="minorEastAsia"/>
              </w:rPr>
              <w:t>公司依据：GB/T19001-2016\GB/T24001-2016\</w:t>
            </w:r>
            <w:r>
              <w:rPr>
                <w:rFonts w:hint="eastAsia" w:cs="宋体" w:asciiTheme="minorEastAsia" w:hAnsiTheme="minorEastAsia" w:eastAsiaTheme="minorEastAsia"/>
                <w:szCs w:val="21"/>
                <w:lang w:val="en-US" w:eastAsia="zh-CN"/>
              </w:rPr>
              <w:t>GB/T</w:t>
            </w:r>
            <w:r>
              <w:rPr>
                <w:rFonts w:cs="宋体" w:asciiTheme="minorEastAsia" w:hAnsiTheme="minorEastAsia" w:eastAsiaTheme="minorEastAsia"/>
                <w:szCs w:val="21"/>
              </w:rPr>
              <w:t>45001-20</w:t>
            </w:r>
            <w:r>
              <w:rPr>
                <w:rFonts w:hint="eastAsia" w:cs="宋体" w:asciiTheme="minorEastAsia" w:hAnsiTheme="minorEastAsia" w:eastAsiaTheme="minorEastAsia"/>
                <w:szCs w:val="21"/>
                <w:lang w:val="en-US" w:eastAsia="zh-CN"/>
              </w:rPr>
              <w:t>20</w:t>
            </w:r>
            <w:r>
              <w:rPr>
                <w:rFonts w:hint="eastAsia" w:cs="Times New Roman" w:asciiTheme="minorEastAsia" w:hAnsiTheme="minorEastAsia" w:eastAsiaTheme="minorEastAsia"/>
              </w:rPr>
              <w:t>标准进行管理评审。</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目前按标准要求平稳运行，至今暂无变更情况发生。</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查阅公司管理评审资料：</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一、管理评审时间：20</w:t>
            </w:r>
            <w:r>
              <w:rPr>
                <w:rFonts w:hint="eastAsia" w:cs="Times New Roman" w:asciiTheme="minorEastAsia" w:hAnsiTheme="minorEastAsia" w:eastAsiaTheme="minorEastAsia"/>
                <w:lang w:val="en-US" w:eastAsia="zh-CN"/>
              </w:rPr>
              <w:t>20</w:t>
            </w:r>
            <w:r>
              <w:rPr>
                <w:rFonts w:hint="eastAsia" w:cs="Times New Roman" w:asciiTheme="minorEastAsia" w:hAnsiTheme="minorEastAsia" w:eastAsiaTheme="minorEastAsia"/>
              </w:rPr>
              <w:t>年</w:t>
            </w:r>
            <w:r>
              <w:rPr>
                <w:rFonts w:hint="eastAsia" w:cs="Times New Roman" w:asciiTheme="minorEastAsia" w:hAnsiTheme="minorEastAsia" w:eastAsiaTheme="minorEastAsia"/>
                <w:lang w:val="en-US" w:eastAsia="zh-CN"/>
              </w:rPr>
              <w:t>10</w:t>
            </w:r>
            <w:r>
              <w:rPr>
                <w:rFonts w:hint="eastAsia" w:cs="Times New Roman" w:asciiTheme="minorEastAsia" w:hAnsiTheme="minorEastAsia" w:eastAsiaTheme="minorEastAsia"/>
              </w:rPr>
              <w:t>月</w:t>
            </w:r>
            <w:r>
              <w:rPr>
                <w:rFonts w:hint="eastAsia" w:cs="Times New Roman" w:asciiTheme="minorEastAsia" w:hAnsiTheme="minorEastAsia" w:eastAsiaTheme="minorEastAsia"/>
                <w:lang w:val="en-US" w:eastAsia="zh-CN"/>
              </w:rPr>
              <w:t>9</w:t>
            </w:r>
            <w:r>
              <w:rPr>
                <w:rFonts w:hint="eastAsia" w:cs="Times New Roman" w:asciiTheme="minorEastAsia" w:hAnsiTheme="minorEastAsia" w:eastAsiaTheme="minorEastAsia"/>
              </w:rPr>
              <w:t>日,评审方式：会议评审</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参加人员：总经理、管理者代表、各部门负责人。</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二、管理评审输入：</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组织环境、相关方需求、风险和机遇、公司的管理方针、管理目标、指标的执行和完成情况；产品质量和顾客满意情况；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资源的配备；纠正和预防措施情况；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以上内容通过会上工作总结、汇报等形式体现。</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三、查看“管理评审报告”，报告中对本次管理评审做了总结，评价了公司建立、运行管理体系的效果。</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四、管理评审输出/评审结论：</w:t>
            </w:r>
          </w:p>
          <w:p>
            <w:pPr>
              <w:spacing w:line="240" w:lineRule="exact"/>
              <w:rPr>
                <w:b/>
                <w:color w:val="000000" w:themeColor="text1"/>
                <w:sz w:val="20"/>
                <w:szCs w:val="20"/>
              </w:rPr>
            </w:pPr>
            <w:r>
              <w:rPr>
                <w:rFonts w:hint="eastAsia" w:cs="Times New Roman" w:asciiTheme="minorEastAsia" w:hAnsiTheme="minorEastAsia" w:eastAsiaTheme="minorEastAsia"/>
              </w:rPr>
              <w:t>总体评价质量环境职业健康安全管理体系运行是有效的，资源提供是充分的，方针目标是适宜的。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numPr>
                <w:ilvl w:val="0"/>
                <w:numId w:val="5"/>
              </w:numPr>
              <w:spacing w:line="240" w:lineRule="exact"/>
              <w:rPr>
                <w:rFonts w:hint="eastAsia"/>
                <w:b/>
                <w:color w:val="000000" w:themeColor="text1"/>
                <w:sz w:val="20"/>
                <w:szCs w:val="20"/>
                <w:lang w:val="en-US" w:eastAsia="zh-CN"/>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numId w:val="0"/>
              </w:num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不涉及</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20" w:type="dxa"/>
            <w:vMerge w:val="continue"/>
            <w:vAlign w:val="center"/>
          </w:tcPr>
          <w:p>
            <w:pPr>
              <w:spacing w:line="240" w:lineRule="exact"/>
              <w:jc w:val="center"/>
              <w:rPr>
                <w:b/>
                <w:color w:val="000000" w:themeColor="text1"/>
                <w:sz w:val="20"/>
              </w:rPr>
            </w:pPr>
          </w:p>
        </w:tc>
        <w:tc>
          <w:tcPr>
            <w:tcW w:w="9117"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17" w:type="dxa"/>
            <w:tcBorders>
              <w:bottom w:val="single" w:color="auto" w:sz="4" w:space="0"/>
            </w:tcBorders>
          </w:tcPr>
          <w:p>
            <w:pPr>
              <w:widowControl/>
              <w:numPr>
                <w:ilvl w:val="0"/>
                <w:numId w:val="6"/>
              </w:numPr>
              <w:spacing w:line="240" w:lineRule="exact"/>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numId w:val="0"/>
              </w:num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公司发展较快，产值逐年提升。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17"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b/>
                <w:color w:val="000000" w:themeColor="text1"/>
                <w:sz w:val="20"/>
                <w:szCs w:val="20"/>
                <w:lang w:val="en-US" w:eastAsia="zh-CN"/>
              </w:rPr>
              <w:t>不符合项已整改，基本有效。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vAlign w:val="center"/>
          </w:tcPr>
          <w:p>
            <w:pPr>
              <w:spacing w:line="240" w:lineRule="exact"/>
              <w:jc w:val="center"/>
              <w:rPr>
                <w:b/>
                <w:color w:val="000000" w:themeColor="text1"/>
                <w:sz w:val="20"/>
              </w:rPr>
            </w:pPr>
          </w:p>
        </w:tc>
        <w:tc>
          <w:tcPr>
            <w:tcW w:w="9117"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0" w:type="dxa"/>
            <w:vMerge w:val="continue"/>
            <w:vAlign w:val="center"/>
          </w:tcPr>
          <w:p>
            <w:pPr>
              <w:spacing w:line="240" w:lineRule="exact"/>
              <w:jc w:val="center"/>
              <w:rPr>
                <w:b/>
                <w:color w:val="000000" w:themeColor="text1"/>
                <w:sz w:val="20"/>
              </w:rPr>
            </w:pPr>
          </w:p>
        </w:tc>
        <w:tc>
          <w:tcPr>
            <w:tcW w:w="9117"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themeColor="text1"/>
                <w:sz w:val="20"/>
              </w:rPr>
            </w:pPr>
          </w:p>
        </w:tc>
        <w:tc>
          <w:tcPr>
            <w:tcW w:w="9117" w:type="dxa"/>
            <w:tcBorders>
              <w:top w:val="single" w:color="auto" w:sz="4" w:space="0"/>
              <w:left w:val="single" w:color="auto" w:sz="4" w:space="0"/>
              <w:bottom w:val="single" w:color="auto" w:sz="4" w:space="0"/>
              <w:right w:val="single" w:color="auto" w:sz="4" w:space="0"/>
            </w:tcBorders>
            <w:vAlign w:val="top"/>
          </w:tcPr>
          <w:p>
            <w:pPr>
              <w:numPr>
                <w:ilvl w:val="0"/>
                <w:numId w:val="7"/>
              </w:numPr>
              <w:spacing w:line="240" w:lineRule="exact"/>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17"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1" locked="0" layoutInCell="1" allowOverlap="1">
            <wp:simplePos x="0" y="0"/>
            <wp:positionH relativeFrom="column">
              <wp:posOffset>1546860</wp:posOffset>
            </wp:positionH>
            <wp:positionV relativeFrom="paragraph">
              <wp:posOffset>221615</wp:posOffset>
            </wp:positionV>
            <wp:extent cx="765175" cy="553085"/>
            <wp:effectExtent l="0" t="0" r="12065" b="1079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765175" cy="55308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default" w:eastAsia="宋体"/>
          <w:b/>
          <w:color w:val="000000" w:themeColor="text1"/>
          <w:sz w:val="26"/>
          <w:szCs w:val="26"/>
          <w:lang w:val="en-US" w:eastAsia="zh-CN"/>
        </w:rPr>
        <w:drawing>
          <wp:anchor distT="0" distB="0" distL="114300" distR="114300" simplePos="0" relativeHeight="251663360" behindDoc="1" locked="0" layoutInCell="1" allowOverlap="1">
            <wp:simplePos x="0" y="0"/>
            <wp:positionH relativeFrom="column">
              <wp:posOffset>2197100</wp:posOffset>
            </wp:positionH>
            <wp:positionV relativeFrom="paragraph">
              <wp:posOffset>168910</wp:posOffset>
            </wp:positionV>
            <wp:extent cx="843915" cy="426720"/>
            <wp:effectExtent l="0" t="0" r="9525" b="0"/>
            <wp:wrapNone/>
            <wp:docPr id="5" name="图片 5"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任泽华"/>
                    <pic:cNvPicPr>
                      <a:picLocks noChangeAspect="1"/>
                    </pic:cNvPicPr>
                  </pic:nvPicPr>
                  <pic:blipFill>
                    <a:blip r:embed="rId7"/>
                    <a:stretch>
                      <a:fillRect/>
                    </a:stretch>
                  </pic:blipFill>
                  <pic:spPr>
                    <a:xfrm>
                      <a:off x="0" y="0"/>
                      <a:ext cx="843915" cy="426720"/>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1447800</wp:posOffset>
            </wp:positionH>
            <wp:positionV relativeFrom="paragraph">
              <wp:posOffset>130810</wp:posOffset>
            </wp:positionV>
            <wp:extent cx="822960" cy="407035"/>
            <wp:effectExtent l="0" t="0" r="0" b="4445"/>
            <wp:wrapNone/>
            <wp:docPr id="4"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5ce310dd7f7edcbfa932cc5ea3b"/>
                    <pic:cNvPicPr>
                      <a:picLocks noChangeAspect="1"/>
                    </pic:cNvPicPr>
                  </pic:nvPicPr>
                  <pic:blipFill>
                    <a:blip r:embed="rId8"/>
                    <a:stretch>
                      <a:fillRect/>
                    </a:stretch>
                  </pic:blipFill>
                  <pic:spPr>
                    <a:xfrm>
                      <a:off x="0" y="0"/>
                      <a:ext cx="822960" cy="407035"/>
                    </a:xfrm>
                    <a:prstGeom prst="rect">
                      <a:avLst/>
                    </a:prstGeom>
                  </pic:spPr>
                </pic:pic>
              </a:graphicData>
            </a:graphic>
          </wp:anchor>
        </w:drawing>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2020-11-28</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7456" behindDoc="1" locked="0" layoutInCell="1" allowOverlap="1">
            <wp:simplePos x="0" y="0"/>
            <wp:positionH relativeFrom="column">
              <wp:posOffset>708660</wp:posOffset>
            </wp:positionH>
            <wp:positionV relativeFrom="paragraph">
              <wp:posOffset>48260</wp:posOffset>
            </wp:positionV>
            <wp:extent cx="765175" cy="553085"/>
            <wp:effectExtent l="0" t="0" r="12065" b="10795"/>
            <wp:wrapNone/>
            <wp:docPr id="6" name="图片 6"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兵签名"/>
                    <pic:cNvPicPr>
                      <a:picLocks noChangeAspect="1"/>
                    </pic:cNvPicPr>
                  </pic:nvPicPr>
                  <pic:blipFill>
                    <a:blip r:embed="rId6"/>
                    <a:stretch>
                      <a:fillRect/>
                    </a:stretch>
                  </pic:blipFill>
                  <pic:spPr>
                    <a:xfrm>
                      <a:off x="0" y="0"/>
                      <a:ext cx="765175" cy="553085"/>
                    </a:xfrm>
                    <a:prstGeom prst="rect">
                      <a:avLst/>
                    </a:prstGeom>
                  </pic:spPr>
                </pic:pic>
              </a:graphicData>
            </a:graphic>
          </wp:anchor>
        </w:drawing>
      </w: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22" w:name="_GoBack"/>
      <w:bookmarkEnd w:id="2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031F3"/>
    <w:multiLevelType w:val="singleLevel"/>
    <w:tmpl w:val="94A031F3"/>
    <w:lvl w:ilvl="0" w:tentative="0">
      <w:start w:val="4"/>
      <w:numFmt w:val="decimal"/>
      <w:lvlText w:val="%1."/>
      <w:lvlJc w:val="left"/>
      <w:pPr>
        <w:tabs>
          <w:tab w:val="left" w:pos="312"/>
        </w:tabs>
      </w:pPr>
    </w:lvl>
  </w:abstractNum>
  <w:abstractNum w:abstractNumId="1">
    <w:nsid w:val="F965273C"/>
    <w:multiLevelType w:val="singleLevel"/>
    <w:tmpl w:val="F965273C"/>
    <w:lvl w:ilvl="0" w:tentative="0">
      <w:start w:val="9"/>
      <w:numFmt w:val="decimal"/>
      <w:suff w:val="space"/>
      <w:lvlText w:val="%1."/>
      <w:lvlJc w:val="left"/>
    </w:lvl>
  </w:abstractNum>
  <w:abstractNum w:abstractNumId="2">
    <w:nsid w:val="134C0A8D"/>
    <w:multiLevelType w:val="singleLevel"/>
    <w:tmpl w:val="134C0A8D"/>
    <w:lvl w:ilvl="0" w:tentative="0">
      <w:start w:val="2"/>
      <w:numFmt w:val="decimal"/>
      <w:suff w:val="space"/>
      <w:lvlText w:val="%1."/>
      <w:lvlJc w:val="left"/>
    </w:lvl>
  </w:abstractNum>
  <w:abstractNum w:abstractNumId="3">
    <w:nsid w:val="1786F1D4"/>
    <w:multiLevelType w:val="singleLevel"/>
    <w:tmpl w:val="1786F1D4"/>
    <w:lvl w:ilvl="0" w:tentative="0">
      <w:start w:val="2"/>
      <w:numFmt w:val="decimal"/>
      <w:suff w:val="nothing"/>
      <w:lvlText w:val="%1、"/>
      <w:lvlJc w:val="left"/>
    </w:lvl>
  </w:abstractNum>
  <w:abstractNum w:abstractNumId="4">
    <w:nsid w:val="43E8F7D6"/>
    <w:multiLevelType w:val="singleLevel"/>
    <w:tmpl w:val="43E8F7D6"/>
    <w:lvl w:ilvl="0" w:tentative="0">
      <w:start w:val="5"/>
      <w:numFmt w:val="decimal"/>
      <w:suff w:val="space"/>
      <w:lvlText w:val="%1."/>
      <w:lvlJc w:val="left"/>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5F4162"/>
    <w:rsid w:val="16C67CAA"/>
    <w:rsid w:val="1D2E2ECB"/>
    <w:rsid w:val="2A386B28"/>
    <w:rsid w:val="2C176151"/>
    <w:rsid w:val="3A4E41BE"/>
    <w:rsid w:val="4E4E019B"/>
    <w:rsid w:val="561F1442"/>
    <w:rsid w:val="59265308"/>
    <w:rsid w:val="601C443A"/>
    <w:rsid w:val="6A0A4899"/>
    <w:rsid w:val="6CE06E01"/>
    <w:rsid w:val="6DFB1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2020-11-27T02:17:20Z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