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受审核部门：主管领导/陪同人员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sz w:val="24"/>
                <w:szCs w:val="24"/>
                <w:lang w:val="en-US" w:eastAsia="zh-CN"/>
              </w:rPr>
            </w:pPr>
            <w:r>
              <w:rPr>
                <w:rFonts w:hint="eastAsia"/>
                <w:sz w:val="24"/>
                <w:szCs w:val="24"/>
              </w:rPr>
              <w:t>审核员：</w:t>
            </w:r>
            <w:r>
              <w:rPr>
                <w:rFonts w:hint="eastAsia"/>
                <w:sz w:val="21"/>
                <w:szCs w:val="21"/>
                <w:lang w:val="en-US" w:eastAsia="zh-CN"/>
              </w:rPr>
              <w:t>林兵、王央央、任泽华、严剑江</w:t>
            </w:r>
            <w:r>
              <w:rPr>
                <w:rFonts w:hint="eastAsia"/>
                <w:sz w:val="24"/>
                <w:szCs w:val="24"/>
                <w:lang w:val="en-US" w:eastAsia="zh-CN"/>
              </w:rPr>
              <w:t xml:space="preserve">    </w:t>
            </w:r>
          </w:p>
          <w:p>
            <w:pPr>
              <w:spacing w:before="120"/>
              <w:rPr>
                <w:rFonts w:hint="default"/>
                <w:lang w:val="en-US"/>
              </w:rPr>
            </w:pPr>
            <w:r>
              <w:rPr>
                <w:rFonts w:hint="eastAsia"/>
                <w:sz w:val="24"/>
                <w:szCs w:val="24"/>
              </w:rPr>
              <w:t>审核时间：</w:t>
            </w:r>
            <w:r>
              <w:rPr>
                <w:rFonts w:hint="eastAsia"/>
                <w:sz w:val="24"/>
                <w:szCs w:val="24"/>
                <w:lang w:val="en-US" w:eastAsia="zh-CN"/>
              </w:rPr>
              <w:t>2020年11月10下午-11上午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 xml:space="preserve">企业基本情况 </w:t>
            </w:r>
          </w:p>
        </w:tc>
        <w:tc>
          <w:tcPr>
            <w:tcW w:w="960" w:type="dxa"/>
          </w:tcPr>
          <w:p/>
        </w:tc>
        <w:tc>
          <w:tcPr>
            <w:tcW w:w="10004" w:type="dxa"/>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hint="eastAsia" w:ascii="宋体" w:hAnsi="宋体"/>
                <w:szCs w:val="22"/>
                <w:u w:val="single"/>
                <w:lang w:val="en-US" w:eastAsia="zh-CN"/>
              </w:rPr>
              <w:t>焦德尚</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u w:val="single"/>
                <w:lang w:val="en-US" w:eastAsia="zh-CN"/>
              </w:rPr>
              <w:t>李顺坡</w:t>
            </w:r>
            <w:r>
              <w:rPr>
                <w:rFonts w:hint="eastAsia" w:ascii="宋体" w:hAnsi="宋体"/>
                <w:szCs w:val="22"/>
                <w:u w:val="single"/>
              </w:rPr>
              <w:t xml:space="preserve"> </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pPr>
            <w:r>
              <w:rPr>
                <w:rFonts w:hint="eastAsia" w:ascii="宋体" w:hAnsi="宋体"/>
              </w:rPr>
              <w:t>3）</w:t>
            </w:r>
            <w:r>
              <w:rPr>
                <w:rFonts w:hint="eastAsia" w:ascii="宋体" w:hAnsi="宋体"/>
                <w:szCs w:val="21"/>
              </w:rPr>
              <w:t>■</w:t>
            </w:r>
            <w:r>
              <w:rPr>
                <w:rFonts w:hint="eastAsia" w:ascii="宋体" w:hAnsi="宋体"/>
              </w:rPr>
              <w:t>任命安全事务代表</w:t>
            </w:r>
            <w:r>
              <w:rPr>
                <w:rFonts w:hint="eastAsia" w:ascii="宋体" w:hAnsi="宋体"/>
                <w:u w:val="single"/>
              </w:rPr>
              <w:t>：</w:t>
            </w:r>
            <w:r>
              <w:rPr>
                <w:rFonts w:hint="eastAsia" w:ascii="宋体" w:hAnsi="宋体"/>
                <w:u w:val="single"/>
                <w:lang w:val="en-US" w:eastAsia="zh-CN"/>
              </w:rPr>
              <w:t>曲俊豪</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tc>
        <w:tc>
          <w:tcPr>
            <w:tcW w:w="960" w:type="dxa"/>
          </w:tcPr>
          <w:p/>
        </w:tc>
        <w:tc>
          <w:tcPr>
            <w:tcW w:w="10004" w:type="dxa"/>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101</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）各体系人数：/E/0 ：</w:t>
            </w:r>
            <w:r>
              <w:rPr>
                <w:rFonts w:hint="eastAsia" w:ascii="宋体" w:hAnsi="宋体"/>
                <w:u w:val="single"/>
              </w:rPr>
              <w:t xml:space="preserve"> </w:t>
            </w:r>
            <w:r>
              <w:rPr>
                <w:rFonts w:hint="eastAsia" w:ascii="宋体" w:hAnsi="宋体"/>
                <w:u w:val="single"/>
                <w:lang w:val="en-US" w:eastAsia="zh-CN"/>
              </w:rPr>
              <w:t>101</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lang w:val="en-US" w:eastAsia="zh-CN"/>
              </w:rPr>
              <w:t>两</w:t>
            </w:r>
            <w:r>
              <w:rPr>
                <w:rFonts w:hint="eastAsia" w:ascii="宋体" w:hAnsi="宋体"/>
                <w:szCs w:val="21"/>
                <w:u w:val="single"/>
              </w:rPr>
              <w:t>班</w:t>
            </w:r>
            <w:r>
              <w:rPr>
                <w:rFonts w:ascii="宋体" w:hAnsi="宋体"/>
                <w:szCs w:val="21"/>
                <w:u w:val="single"/>
              </w:rPr>
              <w:t xml:space="preserve">          </w:t>
            </w:r>
          </w:p>
          <w:p>
            <w:pPr>
              <w:adjustRightInd w:val="0"/>
              <w:spacing w:line="280" w:lineRule="exact"/>
              <w:jc w:val="left"/>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szCs w:val="21"/>
              </w:rPr>
            </w:pPr>
            <w:r>
              <w:rPr>
                <w:rFonts w:hint="eastAsia" w:ascii="宋体" w:hAnsi="宋体"/>
                <w:szCs w:val="21"/>
              </w:rPr>
              <w:t>4、关键场所（针对E、S时，关注如车间、污水处理站、锅炉房、重要设备设施所在的场所等）为：</w:t>
            </w:r>
          </w:p>
          <w:p>
            <w:pPr>
              <w:adjustRightInd w:val="0"/>
              <w:spacing w:line="280" w:lineRule="exact"/>
              <w:ind w:firstLine="210" w:firstLineChars="100"/>
              <w:jc w:val="left"/>
              <w:rPr>
                <w:rFonts w:hint="eastAsia" w:ascii="宋体" w:eastAsia="宋体"/>
                <w:szCs w:val="21"/>
                <w:u w:val="single"/>
                <w:lang w:val="en-US" w:eastAsia="zh-CN"/>
              </w:rPr>
            </w:pPr>
            <w:r>
              <w:rPr>
                <w:rFonts w:hint="eastAsia" w:ascii="宋体"/>
                <w:szCs w:val="21"/>
                <w:u w:val="single"/>
                <w:lang w:val="en-US" w:eastAsia="zh-CN"/>
              </w:rPr>
              <w:t>办公及保安服务现场  等</w:t>
            </w:r>
          </w:p>
          <w:p>
            <w:pPr>
              <w:adjustRightInd w:val="0"/>
              <w:spacing w:line="280" w:lineRule="exact"/>
              <w:jc w:val="left"/>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widowControl/>
              <w:spacing w:line="280" w:lineRule="exact"/>
              <w:rPr>
                <w:rFonts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pPr>
              <w:rPr>
                <w:sz w:val="18"/>
                <w:szCs w:val="18"/>
              </w:rPr>
            </w:pPr>
            <w:bookmarkStart w:id="0" w:name="审核范围"/>
            <w:r>
              <w:rPr>
                <w:sz w:val="18"/>
                <w:szCs w:val="18"/>
              </w:rPr>
              <w:t>E：许可范围内的保安服务（门卫、巡逻、守护、随身护卫、安全检查）所涉及的相关环境管理活动</w:t>
            </w:r>
          </w:p>
          <w:p>
            <w:pPr>
              <w:adjustRightInd w:val="0"/>
              <w:spacing w:line="280" w:lineRule="exact"/>
              <w:jc w:val="left"/>
            </w:pPr>
            <w:r>
              <w:rPr>
                <w:sz w:val="18"/>
                <w:szCs w:val="18"/>
              </w:rPr>
              <w:t>O：许可范围内的保安服务（门卫、巡逻、守护、随身护卫、安全检查）所涉及的相关职业健康安全管理活动</w:t>
            </w:r>
            <w:bookmarkEnd w:id="0"/>
            <w:r>
              <w:rPr>
                <w:rFonts w:hint="eastAsia" w:ascii="宋体" w:hAnsi="宋体"/>
                <w:szCs w:val="21"/>
              </w:rPr>
              <w:t>确认体系文件中描述的、与申请的、与实际的是否一致：■一致，□不一致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olor w:val="000000"/>
                <w:szCs w:val="21"/>
              </w:rPr>
              <w:sym w:font="Wingdings 2" w:char="00A3"/>
            </w:r>
            <w:r>
              <w:rPr>
                <w:rFonts w:hint="eastAsia" w:ascii="宋体" w:hAnsi="宋体"/>
                <w:color w:val="000000"/>
                <w:szCs w:val="21"/>
              </w:rPr>
              <w:t>有，条款及要求：</w:t>
            </w:r>
            <w:r>
              <w:rPr>
                <w:rFonts w:hint="eastAsia" w:ascii="宋体" w:hAnsi="宋体"/>
                <w:color w:val="000000"/>
                <w:szCs w:val="21"/>
                <w:u w:val="single"/>
              </w:rPr>
              <w:t>　</w:t>
            </w:r>
            <w:r>
              <w:rPr>
                <w:rFonts w:hint="eastAsia" w:ascii="宋体" w:hAnsi="宋体"/>
                <w:color w:val="000000"/>
                <w:szCs w:val="21"/>
                <w:u w:val="single"/>
                <w:lang w:val="en-US" w:eastAsia="zh-CN"/>
              </w:rPr>
              <w:t xml:space="preserve"> </w:t>
            </w:r>
            <w:r>
              <w:rPr>
                <w:rFonts w:ascii="宋体" w:hAnsi="宋体"/>
                <w:color w:val="000000"/>
                <w:szCs w:val="21"/>
                <w:u w:val="single"/>
              </w:rPr>
              <w:t xml:space="preserve">                  </w:t>
            </w:r>
          </w:p>
          <w:p>
            <w:pPr>
              <w:adjustRightInd w:val="0"/>
              <w:spacing w:line="280" w:lineRule="exact"/>
              <w:jc w:val="left"/>
              <w:rPr>
                <w:rFonts w:ascii="Arial" w:hAnsi="Arial" w:cs="Arial"/>
                <w:spacing w:val="-5"/>
                <w:szCs w:val="21"/>
                <w:u w:val="single"/>
              </w:rPr>
            </w:pPr>
            <w:r>
              <w:rPr>
                <w:rFonts w:hint="eastAsia" w:ascii="宋体" w:hAnsi="宋体"/>
                <w:color w:val="000000"/>
                <w:szCs w:val="21"/>
              </w:rPr>
              <w:sym w:font="Wingdings 2" w:char="00A3"/>
            </w: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ascii="宋体" w:hAnsi="宋体"/>
                <w:color w:val="000000"/>
                <w:szCs w:val="21"/>
                <w:u w:val="single"/>
              </w:rPr>
              <w:t xml:space="preserve">   </w:t>
            </w:r>
            <w:r>
              <w:rPr>
                <w:rFonts w:hint="eastAsia" w:ascii="宋体" w:hAnsi="宋体"/>
                <w:color w:val="000000"/>
                <w:szCs w:val="21"/>
                <w:u w:val="single"/>
              </w:rPr>
              <w:t>　　　　</w:t>
            </w:r>
          </w:p>
          <w:p>
            <w:pPr>
              <w:adjustRightInd w:val="0"/>
              <w:spacing w:line="280" w:lineRule="exact"/>
              <w:jc w:val="left"/>
              <w:rPr>
                <w:rFonts w:ascii="宋体" w:hAnsi="宋体"/>
                <w:color w:val="333333"/>
                <w:szCs w:val="21"/>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r>
              <w:rPr>
                <w:rFonts w:hint="eastAsia" w:ascii="宋体" w:hAnsi="宋体"/>
                <w:b/>
                <w:bCs/>
              </w:rPr>
              <w:t>管理体系文件</w:t>
            </w:r>
          </w:p>
        </w:tc>
        <w:tc>
          <w:tcPr>
            <w:tcW w:w="960" w:type="dxa"/>
          </w:tcPr>
          <w:p/>
        </w:tc>
        <w:tc>
          <w:tcPr>
            <w:tcW w:w="10004" w:type="dxa"/>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2020年</w:t>
            </w:r>
            <w:r>
              <w:rPr>
                <w:rFonts w:hint="eastAsia" w:ascii="宋体" w:hAnsi="宋体"/>
                <w:u w:val="single"/>
                <w:lang w:val="en-US" w:eastAsia="zh-CN"/>
              </w:rPr>
              <w:t>6</w:t>
            </w:r>
            <w:r>
              <w:rPr>
                <w:rFonts w:hint="eastAsia" w:ascii="宋体" w:hAnsi="宋体"/>
                <w:u w:val="single"/>
              </w:rPr>
              <w:t>月</w:t>
            </w:r>
            <w:r>
              <w:rPr>
                <w:rFonts w:hint="eastAsia" w:ascii="宋体" w:hAnsi="宋体"/>
                <w:u w:val="single"/>
                <w:lang w:val="en-US" w:eastAsia="zh-CN"/>
              </w:rPr>
              <w:t>1日</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ascii="宋体" w:hAnsi="宋体"/>
                <w:color w:val="333333"/>
                <w:szCs w:val="21"/>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ascii="宋体" w:hAnsi="宋体"/>
                <w:color w:val="333333"/>
                <w:szCs w:val="21"/>
              </w:rPr>
            </w:pPr>
            <w:r>
              <w:rPr>
                <w:rFonts w:hint="eastAsia" w:ascii="Arial" w:hAnsi="Arial" w:cs="Arial"/>
                <w:szCs w:val="21"/>
              </w:rPr>
              <w:t>管理制度</w:t>
            </w:r>
            <w:r>
              <w:rPr>
                <w:rFonts w:hint="eastAsia" w:ascii="Arial" w:hAnsi="Arial" w:cs="Arial"/>
                <w:szCs w:val="21"/>
                <w:lang w:val="en-US" w:eastAsia="zh-CN"/>
              </w:rPr>
              <w:t>汇编</w:t>
            </w:r>
            <w:r>
              <w:rPr>
                <w:rFonts w:hint="eastAsia" w:ascii="Arial" w:hAnsi="Arial" w:cs="Arial"/>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hint="eastAsia" w:ascii="宋体" w:hAnsi="宋体"/>
                <w:szCs w:val="22"/>
                <w:lang w:val="en-US" w:eastAsia="zh-CN"/>
              </w:rPr>
              <w:t>20</w:t>
            </w:r>
            <w:r>
              <w:rPr>
                <w:rFonts w:hint="eastAsia" w:ascii="宋体" w:hAnsi="宋体"/>
                <w:szCs w:val="22"/>
              </w:rPr>
              <w:t>年</w:t>
            </w:r>
            <w:r>
              <w:rPr>
                <w:rFonts w:hint="eastAsia" w:ascii="宋体" w:hAnsi="宋体"/>
                <w:szCs w:val="22"/>
                <w:lang w:val="en-US" w:eastAsia="zh-CN"/>
              </w:rPr>
              <w:t>6</w:t>
            </w:r>
            <w:r>
              <w:rPr>
                <w:rFonts w:hint="eastAsia" w:ascii="宋体" w:hAnsi="宋体"/>
                <w:szCs w:val="22"/>
              </w:rPr>
              <w:t>月</w:t>
            </w:r>
            <w:r>
              <w:rPr>
                <w:rFonts w:hint="eastAsia" w:ascii="宋体" w:hAnsi="宋体"/>
                <w:szCs w:val="22"/>
                <w:lang w:val="en-US" w:eastAsia="zh-CN"/>
              </w:rPr>
              <w:t>1</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ind w:firstLine="630" w:firstLineChars="300"/>
              <w:jc w:val="left"/>
              <w:rPr>
                <w:rFonts w:ascii="Arial" w:hAnsi="Arial" w:cs="Arial"/>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重要过程及重要因素、重要危险源的确定（包括组织的环境、产品</w:t>
            </w:r>
            <w:r>
              <w:rPr>
                <w:rFonts w:ascii="宋体" w:hAnsi="宋体"/>
                <w:b/>
                <w:szCs w:val="21"/>
              </w:rPr>
              <w:t>/</w:t>
            </w:r>
            <w:r>
              <w:rPr>
                <w:rFonts w:hint="eastAsia" w:ascii="宋体" w:hAnsi="宋体"/>
                <w:b/>
                <w:szCs w:val="21"/>
              </w:rPr>
              <w:t>服务实现过程、外包过程，环境因素、危险源识别与评价等）</w:t>
            </w:r>
          </w:p>
        </w:tc>
        <w:tc>
          <w:tcPr>
            <w:tcW w:w="960" w:type="dxa"/>
          </w:tcPr>
          <w:p>
            <w:r>
              <w:rPr>
                <w:rFonts w:hint="eastAsia"/>
                <w:szCs w:val="21"/>
              </w:rPr>
              <w:t>6.1</w:t>
            </w:r>
          </w:p>
        </w:tc>
        <w:tc>
          <w:tcPr>
            <w:tcW w:w="10004" w:type="dxa"/>
          </w:tcPr>
          <w:p>
            <w:pPr>
              <w:adjustRightInd w:val="0"/>
              <w:spacing w:line="360" w:lineRule="auto"/>
              <w:jc w:val="left"/>
              <w:rPr>
                <w:rFonts w:ascii="宋体"/>
                <w:szCs w:val="22"/>
              </w:rPr>
            </w:pPr>
            <w:r>
              <w:rPr>
                <w:rFonts w:hint="eastAsia" w:ascii="宋体"/>
                <w:szCs w:val="22"/>
              </w:rPr>
              <w:t>与组织目标和战略方向相关并影响其实现管理体系预期结果的各种外部和内部因素:</w:t>
            </w:r>
          </w:p>
          <w:p>
            <w:pPr>
              <w:adjustRightInd w:val="0"/>
              <w:spacing w:line="360" w:lineRule="auto"/>
              <w:jc w:val="left"/>
              <w:rPr>
                <w:rFonts w:ascii="宋体"/>
                <w:szCs w:val="22"/>
              </w:rPr>
            </w:pPr>
            <w:r>
              <w:rPr>
                <w:rFonts w:hint="eastAsia" w:ascii="宋体"/>
                <w:szCs w:val="22"/>
              </w:rPr>
              <w:t>1）确定情况：</w:t>
            </w:r>
          </w:p>
          <w:p>
            <w:pPr>
              <w:adjustRightInd w:val="0"/>
              <w:spacing w:line="360" w:lineRule="auto"/>
              <w:jc w:val="left"/>
              <w:rPr>
                <w:rFonts w:ascii="宋体"/>
                <w:szCs w:val="22"/>
              </w:rPr>
            </w:pPr>
            <w:r>
              <w:rPr>
                <w:rFonts w:hint="eastAsia" w:ascii="宋体"/>
                <w:szCs w:val="22"/>
              </w:rPr>
              <w:t>提供《组织的内外重要环境因素分析表》，确定了公司相关的内外部因素。</w:t>
            </w:r>
          </w:p>
          <w:p>
            <w:pPr>
              <w:adjustRightInd w:val="0"/>
              <w:spacing w:line="360" w:lineRule="auto"/>
              <w:jc w:val="left"/>
              <w:rPr>
                <w:rFonts w:ascii="宋体"/>
                <w:szCs w:val="22"/>
              </w:rPr>
            </w:pPr>
            <w:r>
              <w:rPr>
                <w:rFonts w:hint="eastAsia" w:ascii="宋体"/>
                <w:szCs w:val="22"/>
              </w:rPr>
              <w:t>2）监视和评审情况：</w:t>
            </w:r>
          </w:p>
          <w:p>
            <w:pPr>
              <w:adjustRightInd w:val="0"/>
              <w:spacing w:line="360" w:lineRule="auto"/>
              <w:jc w:val="left"/>
              <w:rPr>
                <w:rFonts w:ascii="宋体"/>
                <w:szCs w:val="22"/>
              </w:rPr>
            </w:pPr>
            <w:r>
              <w:rPr>
                <w:rFonts w:hint="eastAsia" w:ascii="宋体"/>
                <w:szCs w:val="22"/>
              </w:rPr>
              <w:t xml:space="preserve">   每年监视评审一次，一般是从网络获取。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2、与组织宗旨相关并影响其实现管理体系预期结果的各种外部和内部问题的确定情况：</w:t>
            </w:r>
          </w:p>
          <w:p>
            <w:pPr>
              <w:adjustRightInd w:val="0"/>
              <w:spacing w:line="360" w:lineRule="auto"/>
              <w:jc w:val="left"/>
              <w:rPr>
                <w:rFonts w:ascii="Arial" w:hAnsi="Arial" w:cs="Arial"/>
                <w:szCs w:val="21"/>
              </w:rPr>
            </w:pPr>
            <w:r>
              <w:rPr>
                <w:rFonts w:hint="eastAsia" w:ascii="宋体" w:hAnsi="宋体"/>
                <w:szCs w:val="21"/>
              </w:rPr>
              <w:t>提供《组织的内外重要环境因素分析表》，确定了公司相关的内外部因素。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ascii="Arial" w:hAnsi="Arial" w:cs="Arial"/>
                <w:szCs w:val="21"/>
              </w:rPr>
            </w:pPr>
            <w:r>
              <w:rPr>
                <w:rFonts w:hint="eastAsia" w:ascii="宋体" w:hAnsi="宋体"/>
                <w:szCs w:val="21"/>
              </w:rPr>
              <w:t>提供《风险和机遇评估分析表》，针对确定的风险和机遇明确了控制措施，同时也确定了责任部门、时间期限等。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hint="eastAsia" w:ascii="宋体" w:hAnsi="宋体"/>
                <w:szCs w:val="21"/>
              </w:rPr>
            </w:pPr>
            <w:r>
              <w:rPr>
                <w:rFonts w:hint="eastAsia" w:ascii="宋体" w:hAnsi="宋体"/>
                <w:szCs w:val="21"/>
              </w:rPr>
              <w:t>1）过程描述：</w:t>
            </w:r>
          </w:p>
          <w:p>
            <w:pPr>
              <w:adjustRightInd w:val="0"/>
              <w:spacing w:line="360" w:lineRule="auto"/>
              <w:ind w:firstLine="630" w:firstLineChars="300"/>
              <w:jc w:val="left"/>
              <w:rPr>
                <w:rFonts w:hint="default" w:ascii="Times New Roman" w:hAnsi="Times New Roman" w:cs="Times New Roman"/>
                <w:b/>
                <w:sz w:val="20"/>
                <w:szCs w:val="22"/>
                <w:lang w:val="en-US" w:eastAsia="zh-CN"/>
              </w:rPr>
            </w:pPr>
            <w:r>
              <w:rPr>
                <w:rFonts w:hint="eastAsia"/>
                <w:szCs w:val="21"/>
              </w:rPr>
              <w:t>过程：</w:t>
            </w:r>
            <w:r>
              <w:rPr>
                <w:rFonts w:hint="eastAsia" w:ascii="Times New Roman" w:hAnsi="Times New Roman" w:cs="Times New Roman"/>
                <w:b/>
                <w:sz w:val="20"/>
                <w:szCs w:val="22"/>
                <w:lang w:val="en-US" w:eastAsia="zh-CN"/>
              </w:rPr>
              <w:t>签订保安服务合同——提供安保服务方案——组织保安人员进场——日常服务——日常检查</w:t>
            </w:r>
          </w:p>
          <w:p>
            <w:pPr>
              <w:rPr>
                <w:rFonts w:hint="default" w:eastAsia="宋体"/>
                <w:szCs w:val="21"/>
                <w:lang w:val="en-US" w:eastAsia="zh-CN"/>
              </w:rPr>
            </w:pP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/E/O</w:t>
            </w:r>
            <w:r>
              <w:rPr>
                <w:rFonts w:hint="eastAsia" w:ascii="宋体" w:hAnsi="宋体"/>
                <w:szCs w:val="21"/>
              </w:rPr>
              <w:t>）：</w:t>
            </w:r>
          </w:p>
          <w:p>
            <w:pPr>
              <w:adjustRightInd w:val="0"/>
              <w:spacing w:line="360" w:lineRule="auto"/>
              <w:ind w:firstLine="315" w:firstLineChars="150"/>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保安</w:t>
            </w:r>
            <w:r>
              <w:rPr>
                <w:rFonts w:hint="eastAsia"/>
                <w:szCs w:val="21"/>
                <w:lang w:val="en-US" w:eastAsia="zh-CN"/>
              </w:rPr>
              <w:t>服务现场</w:t>
            </w:r>
            <w:r>
              <w:rPr>
                <w:rFonts w:hint="eastAsia" w:ascii="宋体" w:hAnsi="宋体"/>
              </w:rPr>
              <w:t xml:space="preserve"> </w:t>
            </w:r>
          </w:p>
          <w:p>
            <w:pPr>
              <w:adjustRightInd w:val="0"/>
              <w:spacing w:line="360" w:lineRule="auto"/>
              <w:ind w:firstLine="315" w:firstLineChars="150"/>
              <w:jc w:val="left"/>
              <w:rPr>
                <w:rFonts w:ascii="宋体" w:hAnsi="宋体"/>
                <w:szCs w:val="21"/>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hint="default" w:ascii="宋体" w:hAnsi="宋体" w:eastAsia="宋体"/>
                <w:lang w:val="en-US" w:eastAsia="zh-CN"/>
              </w:rPr>
            </w:pPr>
            <w:r>
              <w:rPr>
                <w:rFonts w:hint="eastAsia" w:ascii="宋体" w:hAnsi="宋体"/>
                <w:szCs w:val="21"/>
                <w:lang w:eastAsia="zh-CN"/>
              </w:rPr>
              <w:sym w:font="Wingdings 2" w:char="0052"/>
            </w:r>
            <w:r>
              <w:rPr>
                <w:rFonts w:hint="eastAsia" w:ascii="宋体" w:hAnsi="宋体"/>
                <w:szCs w:val="21"/>
              </w:rPr>
              <w:t>无</w:t>
            </w:r>
            <w:r>
              <w:rPr>
                <w:rFonts w:ascii="宋体" w:hAnsi="宋体"/>
                <w:szCs w:val="21"/>
              </w:rPr>
              <w:t xml:space="preserve"> </w:t>
            </w:r>
            <w:r>
              <w:rPr>
                <w:rFonts w:hint="eastAsia" w:ascii="宋体" w:hAnsi="宋体"/>
                <w:szCs w:val="21"/>
              </w:rPr>
              <w:t xml:space="preserve">  </w:t>
            </w:r>
            <w:r>
              <w:rPr>
                <w:rFonts w:hint="eastAsia" w:ascii="宋体" w:hAnsi="宋体"/>
                <w:szCs w:val="21"/>
                <w:lang w:eastAsia="zh-CN"/>
              </w:rPr>
              <w:sym w:font="Wingdings 2" w:char="00A3"/>
            </w:r>
            <w:r>
              <w:rPr>
                <w:rFonts w:hint="eastAsia" w:ascii="宋体" w:hAnsi="宋体"/>
                <w:szCs w:val="21"/>
              </w:rPr>
              <w:t>有，说明具体的外包过程</w:t>
            </w:r>
            <w:r>
              <w:rPr>
                <w:rFonts w:hint="eastAsia" w:ascii="宋体" w:hAnsi="宋体"/>
                <w:color w:val="4F81BD"/>
                <w:szCs w:val="21"/>
              </w:rPr>
              <w:t>及管理控制情况</w:t>
            </w:r>
            <w:r>
              <w:rPr>
                <w:rFonts w:hint="eastAsia" w:ascii="宋体" w:hAnsi="宋体"/>
                <w:color w:val="4F81BD"/>
              </w:rPr>
              <w:t>：</w:t>
            </w:r>
            <w:r>
              <w:rPr>
                <w:rFonts w:hint="eastAsia" w:ascii="宋体" w:hAnsi="宋体"/>
                <w:color w:val="4F81BD"/>
                <w:lang w:val="en-US" w:eastAsia="zh-CN"/>
              </w:rPr>
              <w:t xml:space="preserve"> </w:t>
            </w:r>
          </w:p>
          <w:p>
            <w:pPr>
              <w:tabs>
                <w:tab w:val="left" w:pos="1305"/>
              </w:tabs>
              <w:rPr>
                <w:rFonts w:hint="eastAsia" w:ascii="宋体" w:hAnsi="宋体" w:eastAsia="宋体"/>
                <w:szCs w:val="21"/>
                <w:lang w:eastAsia="zh-CN"/>
              </w:rPr>
            </w:pPr>
            <w:r>
              <w:rPr>
                <w:rFonts w:hint="eastAsia" w:ascii="宋体" w:hAnsi="宋体"/>
              </w:rPr>
              <w:t xml:space="preserve">   </w:t>
            </w:r>
            <w:r>
              <w:rPr>
                <w:rFonts w:hint="eastAsia" w:ascii="宋体" w:hAnsi="宋体"/>
                <w:u w:val="single"/>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6、环境因素识别与评价：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w:t>
            </w:r>
            <w:r>
              <w:rPr>
                <w:rFonts w:hint="eastAsia" w:ascii="宋体" w:hAnsi="宋体"/>
                <w:u w:val="single"/>
                <w:lang w:val="en-US" w:eastAsia="zh-CN"/>
              </w:rPr>
              <w:t>保安服务</w:t>
            </w:r>
            <w:r>
              <w:rPr>
                <w:rFonts w:hint="eastAsia" w:ascii="宋体" w:hAnsi="宋体"/>
                <w:u w:val="single"/>
              </w:rPr>
              <w:t>过程</w:t>
            </w:r>
            <w:r>
              <w:rPr>
                <w:rFonts w:ascii="宋体" w:hAnsi="宋体"/>
                <w:u w:val="single"/>
              </w:rPr>
              <w:t xml:space="preserve"> </w:t>
            </w:r>
            <w:r>
              <w:rPr>
                <w:rFonts w:hint="eastAsia" w:ascii="宋体" w:hAnsi="宋体"/>
                <w:u w:val="single"/>
              </w:rPr>
              <w:t>的环境因素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lang w:val="en-US" w:eastAsia="zh-CN"/>
              </w:rPr>
              <w:t>3</w:t>
            </w:r>
            <w:r>
              <w:rPr>
                <w:rFonts w:ascii="宋体" w:hAnsi="宋体"/>
                <w:u w:val="single"/>
              </w:rPr>
              <w:t xml:space="preserve"> </w:t>
            </w:r>
            <w:r>
              <w:rPr>
                <w:rFonts w:hint="eastAsia" w:ascii="宋体" w:hAnsi="宋体"/>
                <w:u w:val="single"/>
                <w:lang w:val="en-US" w:eastAsia="zh-CN"/>
              </w:rPr>
              <w:t xml:space="preserve"> </w:t>
            </w:r>
            <w:r>
              <w:rPr>
                <w:rFonts w:hint="eastAsia" w:ascii="宋体" w:hAnsi="宋体"/>
              </w:rPr>
              <w:t>项，经评价为重要环境因素的有：</w:t>
            </w:r>
          </w:p>
          <w:p>
            <w:pPr>
              <w:adjustRightInd w:val="0"/>
              <w:spacing w:line="360" w:lineRule="auto"/>
              <w:jc w:val="left"/>
              <w:rPr>
                <w:rFonts w:hint="eastAsia" w:ascii="宋体" w:hAnsi="宋体"/>
                <w:szCs w:val="22"/>
                <w:u w:val="single"/>
              </w:rPr>
            </w:pPr>
            <w:r>
              <w:rPr>
                <w:rFonts w:hint="eastAsia" w:ascii="宋体" w:hAnsi="宋体" w:cs="Times New Roman"/>
                <w:szCs w:val="22"/>
                <w:u w:val="single"/>
                <w:lang w:val="en-US" w:eastAsia="zh-CN"/>
              </w:rPr>
              <w:t>办公固废（墨盒、硒鼓、灯管）排放</w:t>
            </w:r>
            <w:r>
              <w:rPr>
                <w:rFonts w:hint="eastAsia" w:ascii="宋体" w:hAnsi="宋体" w:cs="Times New Roman"/>
                <w:szCs w:val="22"/>
                <w:u w:val="single"/>
                <w:lang w:eastAsia="zh-CN"/>
              </w:rPr>
              <w:t>、</w:t>
            </w:r>
            <w:r>
              <w:rPr>
                <w:rFonts w:hint="eastAsia" w:ascii="宋体" w:hAnsi="宋体" w:cs="Times New Roman"/>
                <w:szCs w:val="22"/>
                <w:u w:val="single"/>
              </w:rPr>
              <w:t>潜</w:t>
            </w:r>
            <w:r>
              <w:rPr>
                <w:rFonts w:hint="eastAsia" w:ascii="宋体" w:hAnsi="宋体"/>
                <w:szCs w:val="22"/>
                <w:u w:val="single"/>
              </w:rPr>
              <w:t>在火灾事故</w:t>
            </w:r>
            <w:r>
              <w:rPr>
                <w:rFonts w:hint="eastAsia" w:ascii="宋体" w:hAnsi="宋体"/>
                <w:szCs w:val="22"/>
                <w:u w:val="single"/>
                <w:lang w:eastAsia="zh-CN"/>
              </w:rPr>
              <w:t>、</w:t>
            </w:r>
            <w:r>
              <w:rPr>
                <w:rFonts w:hint="eastAsia" w:ascii="宋体" w:hAnsi="宋体"/>
                <w:szCs w:val="22"/>
                <w:u w:val="single"/>
              </w:rPr>
              <w:t>资源的消耗。</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ascii="宋体" w:hAnsi="宋体"/>
                <w:szCs w:val="21"/>
              </w:rPr>
            </w:pPr>
            <w:r>
              <w:rPr>
                <w:rFonts w:hint="eastAsia" w:ascii="宋体" w:hAnsi="宋体"/>
                <w:szCs w:val="21"/>
              </w:rPr>
              <w:t>□有遗漏，遗漏部分有：</w:t>
            </w:r>
            <w:r>
              <w:rPr>
                <w:rFonts w:ascii="宋体" w:hAnsi="宋体"/>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w:t>
            </w:r>
            <w:r>
              <w:rPr>
                <w:rFonts w:ascii="宋体" w:hAnsi="宋体"/>
                <w:u w:val="single"/>
              </w:rPr>
              <w:t xml:space="preserve"> </w:t>
            </w:r>
            <w:r>
              <w:rPr>
                <w:rFonts w:hint="eastAsia" w:ascii="宋体" w:hAnsi="宋体"/>
                <w:u w:val="single"/>
              </w:rPr>
              <w:t>办公过程、</w:t>
            </w:r>
            <w:r>
              <w:rPr>
                <w:rFonts w:hint="eastAsia" w:ascii="宋体" w:hAnsi="宋体"/>
                <w:u w:val="single"/>
                <w:lang w:val="en-US" w:eastAsia="zh-CN"/>
              </w:rPr>
              <w:t>保险</w:t>
            </w:r>
            <w:r>
              <w:rPr>
                <w:rFonts w:hint="eastAsia" w:ascii="宋体" w:hAnsi="宋体"/>
                <w:u w:val="single"/>
              </w:rPr>
              <w:t>过程</w:t>
            </w:r>
            <w:r>
              <w:rPr>
                <w:rFonts w:ascii="宋体" w:hAnsi="宋体"/>
                <w:u w:val="single"/>
              </w:rPr>
              <w:t xml:space="preserve"> </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2</w:t>
            </w:r>
            <w:r>
              <w:rPr>
                <w:rFonts w:ascii="宋体" w:hAnsi="宋体"/>
                <w:u w:val="single"/>
              </w:rPr>
              <w:t xml:space="preserve">  </w:t>
            </w:r>
            <w:r>
              <w:rPr>
                <w:rFonts w:hint="eastAsia" w:ascii="宋体" w:hAnsi="宋体"/>
              </w:rPr>
              <w:t>项，包括：</w:t>
            </w:r>
          </w:p>
          <w:p>
            <w:pPr>
              <w:adjustRightInd w:val="0"/>
              <w:spacing w:line="360" w:lineRule="auto"/>
              <w:jc w:val="left"/>
              <w:rPr>
                <w:rFonts w:hint="eastAsia" w:ascii="宋体" w:hAnsi="宋体" w:cs="Times New Roman"/>
                <w:szCs w:val="22"/>
                <w:u w:val="single"/>
                <w:lang w:val="en-US" w:eastAsia="zh-CN"/>
              </w:rPr>
            </w:pPr>
            <w:r>
              <w:rPr>
                <w:rFonts w:hint="eastAsia" w:ascii="宋体" w:hAnsi="宋体" w:cs="Times New Roman"/>
                <w:szCs w:val="22"/>
                <w:u w:val="single"/>
                <w:lang w:val="en-US" w:eastAsia="zh-CN"/>
              </w:rPr>
              <w:t>（抽烟、焚烧、电线短路等火源导致的）火灾、（人为治安、盗窃、暴力伤害导致的）人员伤害、伤亡</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Cs w:val="21"/>
                <w:lang w:eastAsia="zh-CN"/>
              </w:rPr>
              <w:sym w:font="Wingdings 2" w:char="0052"/>
            </w:r>
            <w:r>
              <w:rPr>
                <w:rFonts w:hint="eastAsia" w:ascii="宋体" w:hAnsi="宋体"/>
                <w:szCs w:val="21"/>
              </w:rPr>
              <w:t>齐全</w:t>
            </w:r>
          </w:p>
          <w:p>
            <w:pPr>
              <w:adjustRightInd w:val="0"/>
              <w:spacing w:line="360" w:lineRule="auto"/>
              <w:jc w:val="left"/>
              <w:rPr>
                <w:rFonts w:hint="eastAsia" w:ascii="宋体" w:hAnsi="宋体" w:eastAsia="宋体"/>
                <w:lang w:val="en-US" w:eastAsia="zh-CN"/>
              </w:rPr>
            </w:pPr>
            <w:r>
              <w:rPr>
                <w:rFonts w:hint="eastAsia" w:ascii="宋体" w:hAnsi="宋体"/>
                <w:szCs w:val="21"/>
              </w:rPr>
              <w:sym w:font="Wingdings 2" w:char="00A3"/>
            </w:r>
            <w:r>
              <w:rPr>
                <w:rFonts w:hint="eastAsia" w:ascii="宋体" w:hAnsi="宋体"/>
                <w:szCs w:val="21"/>
              </w:rPr>
              <w:t>有遗漏，遗漏部分有：</w:t>
            </w:r>
            <w:r>
              <w:rPr>
                <w:rFonts w:hint="eastAsia" w:ascii="宋体" w:hAnsi="宋体"/>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相关法律法规及其它要求的遵守情况</w:t>
            </w:r>
          </w:p>
        </w:tc>
        <w:tc>
          <w:tcPr>
            <w:tcW w:w="960" w:type="dxa"/>
          </w:tcP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rPr>
              <w:sym w:font="Wingdings 2" w:char="0052"/>
            </w:r>
            <w:r>
              <w:rPr>
                <w:rFonts w:hint="eastAsia" w:ascii="宋体" w:hAnsi="宋体"/>
                <w:color w:val="000000"/>
                <w:szCs w:val="21"/>
              </w:rPr>
              <w:t>组织的</w:t>
            </w:r>
            <w:r>
              <w:rPr>
                <w:rFonts w:hint="eastAsia" w:ascii="宋体" w:hAnsi="宋体"/>
                <w:color w:val="000000"/>
              </w:rPr>
              <w:t>营业执照；</w:t>
            </w:r>
            <w:r>
              <w:rPr>
                <w:rFonts w:hint="eastAsia" w:ascii="宋体" w:hAnsi="宋体"/>
              </w:rPr>
              <w:sym w:font="Wingdings 2" w:char="0052"/>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sym w:font="Wingdings 2" w:char="00A3"/>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sym w:font="Wingdings 2" w:char="00A3"/>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rPr>
              <w:t>非药品类易制毒化学品经营备案证明；</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rPr>
              <w:t>说明：</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highlight w:val="yellow"/>
              </w:rPr>
            </w:pPr>
            <w:r>
              <w:rPr>
                <w:rFonts w:ascii="宋体" w:hAnsi="宋体"/>
                <w:szCs w:val="21"/>
                <w:highlight w:val="none"/>
              </w:rPr>
              <w:t>2</w:t>
            </w:r>
            <w:r>
              <w:rPr>
                <w:rFonts w:hint="eastAsia" w:ascii="宋体" w:hAnsi="宋体"/>
                <w:szCs w:val="21"/>
                <w:highlight w:val="none"/>
              </w:rPr>
              <w:t>、组织识别了适用的法律、法规、标准和规范，主要包括：</w:t>
            </w:r>
            <w:r>
              <w:rPr>
                <w:rFonts w:ascii="宋体" w:hAnsi="宋体"/>
                <w:szCs w:val="21"/>
                <w:highlight w:val="none"/>
                <w:u w:val="single"/>
              </w:rPr>
              <w:t xml:space="preserve"> </w:t>
            </w:r>
            <w:r>
              <w:rPr>
                <w:rFonts w:hint="eastAsia" w:ascii="宋体" w:hAnsi="宋体"/>
                <w:szCs w:val="24"/>
                <w:highlight w:val="none"/>
                <w:u w:val="single"/>
              </w:rPr>
              <w:t>环保法、质量法、消防法、大气污染防治法、水污染防治法、所识别的法律法规中中华人民共和国环境噪声污染防治法（2016）、中华人民共和国消防法（2009）、中华人民共和国环境影响评价法（2016）等未收集最新修订版本</w:t>
            </w:r>
            <w:r>
              <w:rPr>
                <w:rFonts w:hint="eastAsia" w:ascii="宋体" w:hAnsi="宋体" w:cs="Times New Roman"/>
                <w:szCs w:val="24"/>
                <w:highlight w:val="none"/>
                <w:u w:val="single"/>
              </w:rPr>
              <w:t xml:space="preserve">。 </w:t>
            </w:r>
            <w:r>
              <w:rPr>
                <w:rFonts w:hint="eastAsia" w:ascii="宋体" w:hAnsi="宋体" w:cs="Times New Roman"/>
                <w:szCs w:val="24"/>
                <w:highlight w:val="none"/>
                <w:u w:val="single"/>
                <w:lang w:val="en-US" w:eastAsia="zh-CN"/>
              </w:rPr>
              <w:t>《浙江省保安服务管理条例》、《浙江省违反&lt;保安服务管理条例&gt;行政处罚标准》</w:t>
            </w:r>
            <w:r>
              <w:rPr>
                <w:rFonts w:hint="eastAsia" w:ascii="宋体" w:hAnsi="宋体" w:cs="Times New Roman"/>
                <w:szCs w:val="24"/>
                <w:highlight w:val="none"/>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ascii="宋体" w:hAnsi="宋体"/>
                <w:szCs w:val="21"/>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运行控制和关键绩效：</w:t>
            </w:r>
          </w:p>
        </w:tc>
        <w:tc>
          <w:tcPr>
            <w:tcW w:w="960" w:type="dxa"/>
          </w:tcPr>
          <w:p>
            <w:r>
              <w:rPr>
                <w:rFonts w:hint="eastAsia"/>
              </w:rPr>
              <w:t>8.1</w:t>
            </w:r>
          </w:p>
        </w:tc>
        <w:tc>
          <w:tcPr>
            <w:tcW w:w="10004" w:type="dxa"/>
          </w:tcPr>
          <w:p>
            <w:pPr>
              <w:adjustRightInd w:val="0"/>
              <w:spacing w:line="360" w:lineRule="auto"/>
              <w:jc w:val="left"/>
              <w:rPr>
                <w:rFonts w:ascii="宋体" w:hAnsi="Times New Roman" w:cs="Times New Roman"/>
                <w:szCs w:val="22"/>
                <w:u w:val="single"/>
              </w:rPr>
            </w:pPr>
            <w:r>
              <w:rPr>
                <w:rFonts w:ascii="宋体" w:hAnsi="宋体"/>
                <w:szCs w:val="21"/>
              </w:rPr>
              <w:t>1</w:t>
            </w:r>
            <w:r>
              <w:rPr>
                <w:rFonts w:hint="eastAsia" w:ascii="宋体" w:hAnsi="宋体"/>
                <w:szCs w:val="21"/>
              </w:rPr>
              <w:t>、（</w:t>
            </w:r>
            <w:r>
              <w:rPr>
                <w:rFonts w:hint="eastAsia" w:ascii="宋体" w:hAnsi="宋体"/>
              </w:rPr>
              <w:t>Q/E/O）产品</w:t>
            </w:r>
            <w:r>
              <w:rPr>
                <w:rFonts w:ascii="宋体" w:hAnsi="宋体"/>
              </w:rPr>
              <w:t>/</w:t>
            </w:r>
            <w:r>
              <w:rPr>
                <w:rFonts w:hint="eastAsia" w:ascii="宋体" w:hAnsi="宋体"/>
              </w:rPr>
              <w:t>服务执行标准为：</w:t>
            </w:r>
            <w:r>
              <w:rPr>
                <w:rFonts w:hint="eastAsia" w:ascii="宋体" w:hAnsi="Times New Roman" w:cs="Times New Roman"/>
                <w:szCs w:val="22"/>
                <w:u w:val="single"/>
                <w:lang w:val="en-US" w:eastAsia="zh-CN"/>
              </w:rPr>
              <w:t>《浙江省保安服务管理条例》、《浙江省违反&lt;保安服务管理条例&gt;行政处罚标准》</w:t>
            </w:r>
            <w:r>
              <w:rPr>
                <w:rFonts w:ascii="宋体" w:hAnsi="Times New Roman" w:cs="Times New Roman"/>
                <w:szCs w:val="22"/>
                <w:u w:val="single"/>
              </w:rPr>
              <w:t xml:space="preserve">  </w:t>
            </w:r>
          </w:p>
          <w:p>
            <w:pPr>
              <w:adjustRightInd w:val="0"/>
              <w:spacing w:line="360" w:lineRule="auto"/>
              <w:jc w:val="left"/>
              <w:rPr>
                <w:rFonts w:ascii="宋体" w:hAnsi="宋体"/>
              </w:rPr>
            </w:pPr>
            <w:r>
              <w:rPr>
                <w:rFonts w:hint="eastAsia" w:ascii="宋体" w:hAnsi="宋体"/>
              </w:rPr>
              <w:t xml:space="preserve"> b.最终产品质量情况：</w:t>
            </w:r>
          </w:p>
          <w:p>
            <w:pPr>
              <w:adjustRightInd w:val="0"/>
              <w:spacing w:line="360" w:lineRule="auto"/>
              <w:jc w:val="left"/>
              <w:rPr>
                <w:rFonts w:ascii="宋体" w:hAnsi="宋体"/>
                <w:szCs w:val="21"/>
                <w:u w:val="single"/>
              </w:rPr>
            </w:pPr>
            <w:r>
              <w:rPr>
                <w:rFonts w:hint="eastAsia" w:ascii="宋体" w:hAnsi="宋体" w:eastAsia="宋体" w:cs="宋体"/>
                <w:szCs w:val="21"/>
              </w:rPr>
              <w:sym w:font="Wingdings 2" w:char="00A3"/>
            </w:r>
            <w:r>
              <w:rPr>
                <w:rFonts w:hint="eastAsia" w:ascii="宋体" w:hAnsi="宋体"/>
              </w:rPr>
              <w:t>提供了合格的产品质量检测报告和</w:t>
            </w:r>
            <w:r>
              <w:rPr>
                <w:rFonts w:ascii="宋体" w:hAnsi="宋体"/>
              </w:rPr>
              <w:t>/</w:t>
            </w:r>
            <w:r>
              <w:rPr>
                <w:rFonts w:hint="eastAsia" w:ascii="宋体" w:hAnsi="宋体"/>
              </w:rPr>
              <w:t>或型式试验报告：</w:t>
            </w:r>
            <w:r>
              <w:rPr>
                <w:rFonts w:hint="eastAsia" w:ascii="宋体" w:hAnsi="宋体"/>
                <w:lang w:val="en-US" w:eastAsia="zh-CN"/>
              </w:rPr>
              <w:t xml:space="preserve">  </w:t>
            </w:r>
            <w:r>
              <w:rPr>
                <w:rFonts w:hint="eastAsia" w:ascii="宋体" w:hAnsi="宋体"/>
                <w:szCs w:val="22"/>
                <w:lang w:val="en-US" w:eastAsia="zh-CN"/>
              </w:rPr>
              <w:t xml:space="preserve">，客户使用验收确认报告 </w:t>
            </w:r>
            <w:r>
              <w:rPr>
                <w:rFonts w:hint="eastAsia" w:ascii="宋体" w:hAnsi="宋体"/>
              </w:rPr>
              <w:t xml:space="preserve"> </w:t>
            </w:r>
            <w:r>
              <w:rPr>
                <w:rFonts w:hint="eastAsia" w:ascii="宋体" w:hAnsi="宋体"/>
                <w:lang w:eastAsia="zh-CN"/>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ascii="宋体" w:hAnsi="宋体"/>
                <w:szCs w:val="21"/>
              </w:rPr>
            </w:pPr>
            <w:r>
              <w:rPr>
                <w:rFonts w:hint="eastAsia" w:ascii="宋体" w:hAnsi="宋体"/>
                <w:b/>
                <w:szCs w:val="21"/>
              </w:rPr>
              <w:t xml:space="preserve">       能满足顾客的要求，顾客反应良好，质量较好。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hint="eastAsia" w:ascii="宋体" w:hAnsi="宋体" w:cs="Times New Roman"/>
                <w:szCs w:val="22"/>
                <w:u w:val="single"/>
                <w:lang w:val="en-US" w:eastAsia="zh-CN"/>
              </w:rPr>
              <w:t>办公固废（墨盒、硒鼓、灯管）排放</w:t>
            </w:r>
            <w:r>
              <w:rPr>
                <w:rFonts w:hint="eastAsia" w:ascii="宋体" w:hAnsi="宋体" w:cs="Times New Roman"/>
                <w:szCs w:val="22"/>
                <w:u w:val="single"/>
                <w:lang w:eastAsia="zh-CN"/>
              </w:rPr>
              <w:t>、</w:t>
            </w:r>
            <w:r>
              <w:rPr>
                <w:rFonts w:hint="eastAsia" w:ascii="宋体" w:hAnsi="宋体" w:cs="Times New Roman"/>
                <w:szCs w:val="22"/>
                <w:u w:val="single"/>
              </w:rPr>
              <w:t>潜</w:t>
            </w:r>
            <w:r>
              <w:rPr>
                <w:rFonts w:hint="eastAsia" w:ascii="宋体" w:hAnsi="宋体"/>
                <w:szCs w:val="22"/>
                <w:u w:val="single"/>
              </w:rPr>
              <w:t>在火灾事故</w:t>
            </w:r>
            <w:r>
              <w:rPr>
                <w:rFonts w:hint="eastAsia" w:ascii="宋体" w:hAnsi="宋体"/>
                <w:szCs w:val="22"/>
                <w:u w:val="single"/>
                <w:lang w:eastAsia="zh-CN"/>
              </w:rPr>
              <w:t>、</w:t>
            </w:r>
            <w:r>
              <w:rPr>
                <w:rFonts w:hint="eastAsia" w:ascii="宋体" w:hAnsi="宋体"/>
                <w:szCs w:val="22"/>
                <w:u w:val="single"/>
              </w:rPr>
              <w:t>资源的消耗等。</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受控</w:t>
            </w:r>
          </w:p>
          <w:p>
            <w:pPr>
              <w:adjustRightInd w:val="0"/>
              <w:spacing w:line="360" w:lineRule="auto"/>
              <w:jc w:val="left"/>
              <w:rPr>
                <w:rFonts w:ascii="宋体" w:hAnsi="宋体"/>
                <w:szCs w:val="21"/>
                <w:highlight w:val="yellow"/>
              </w:rPr>
            </w:pPr>
            <w:r>
              <w:rPr>
                <w:rFonts w:hint="eastAsia" w:ascii="宋体" w:hAnsi="宋体"/>
              </w:rPr>
              <w:t>--存在问题：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 xml:space="preserve">a)重大危险源： </w:t>
            </w:r>
          </w:p>
          <w:p>
            <w:pPr>
              <w:adjustRightInd w:val="0"/>
              <w:spacing w:line="360" w:lineRule="auto"/>
              <w:jc w:val="left"/>
              <w:rPr>
                <w:rFonts w:hint="eastAsia" w:ascii="宋体" w:hAnsi="宋体" w:cs="Times New Roman"/>
                <w:szCs w:val="22"/>
                <w:u w:val="single"/>
                <w:lang w:val="en-US" w:eastAsia="zh-CN"/>
              </w:rPr>
            </w:pPr>
            <w:r>
              <w:rPr>
                <w:rFonts w:hint="eastAsia" w:ascii="宋体" w:hAnsi="宋体" w:cs="Times New Roman"/>
                <w:szCs w:val="22"/>
                <w:u w:val="single"/>
                <w:lang w:val="en-US" w:eastAsia="zh-CN"/>
              </w:rPr>
              <w:t>（抽烟、焚烧、电线短路等火源导致的）火灾、（人为治安、盗窃、暴力伤害导致的）人员伤害、伤亡</w:t>
            </w:r>
          </w:p>
          <w:p>
            <w:pPr>
              <w:adjustRightInd w:val="0"/>
              <w:spacing w:line="360" w:lineRule="auto"/>
              <w:jc w:val="left"/>
              <w:rPr>
                <w:rFonts w:ascii="宋体"/>
              </w:rPr>
            </w:pP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运行控制情况:</w:t>
            </w:r>
            <w:r>
              <w:rPr>
                <w:rFonts w:hint="eastAsia"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良好。</w:t>
            </w:r>
            <w:r>
              <w:rPr>
                <w:rFonts w:ascii="宋体" w:hAnsi="宋体"/>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szCs w:val="21"/>
              </w:rPr>
              <w:t>管理体系的方针、目标/指标/措施方案及实现情况</w:t>
            </w:r>
          </w:p>
        </w:tc>
        <w:tc>
          <w:tcPr>
            <w:tcW w:w="960" w:type="dxa"/>
          </w:tcPr>
          <w:p>
            <w:r>
              <w:rPr>
                <w:rFonts w:hint="eastAsia"/>
              </w:rPr>
              <w:t>5.2/6.1/6.2</w:t>
            </w:r>
          </w:p>
        </w:tc>
        <w:tc>
          <w:tcPr>
            <w:tcW w:w="10004" w:type="dxa"/>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ascii="宋体" w:hAnsi="宋体"/>
                <w:szCs w:val="21"/>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组织内部审核策划和实施情况</w:t>
            </w:r>
          </w:p>
        </w:tc>
        <w:tc>
          <w:tcPr>
            <w:tcW w:w="960" w:type="dxa"/>
          </w:tcPr>
          <w:p>
            <w:r>
              <w:rPr>
                <w:rFonts w:hint="eastAsia"/>
              </w:rPr>
              <w:t>9.2</w:t>
            </w:r>
          </w:p>
        </w:tc>
        <w:tc>
          <w:tcPr>
            <w:tcW w:w="10004" w:type="dxa"/>
          </w:tcPr>
          <w:p>
            <w:pPr>
              <w:pStyle w:val="13"/>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u w:val="single"/>
                <w:lang w:val="en-US" w:eastAsia="zh-CN"/>
              </w:rPr>
              <w:t>11</w:t>
            </w:r>
            <w:r>
              <w:rPr>
                <w:rFonts w:hint="eastAsia" w:ascii="宋体" w:hAnsi="宋体"/>
                <w:u w:val="single"/>
              </w:rPr>
              <w:t>　</w:t>
            </w:r>
            <w:r>
              <w:rPr>
                <w:rFonts w:hint="eastAsia" w:ascii="宋体" w:hAnsi="宋体"/>
              </w:rPr>
              <w:t>月</w:t>
            </w:r>
            <w:r>
              <w:rPr>
                <w:rFonts w:hint="eastAsia" w:ascii="宋体" w:hAnsi="宋体"/>
                <w:u w:val="single"/>
                <w:lang w:val="en-US" w:eastAsia="zh-CN"/>
              </w:rPr>
              <w:t>5</w:t>
            </w:r>
            <w:r>
              <w:rPr>
                <w:rFonts w:hint="eastAsia" w:ascii="宋体" w:hAnsi="宋体"/>
              </w:rPr>
              <w:t>日至</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lang w:val="en-US" w:eastAsia="zh-CN"/>
              </w:rPr>
              <w:t>11</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6</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sym w:font="Wingdings 2" w:char="00A3"/>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u w:val="single"/>
              </w:rPr>
              <w:t>　　公司的管理体系符合标准要求，体系运行有效。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组织进行管理评审的情况</w:t>
            </w:r>
          </w:p>
        </w:tc>
        <w:tc>
          <w:tcPr>
            <w:tcW w:w="960" w:type="dxa"/>
          </w:tcPr>
          <w:p>
            <w:r>
              <w:rPr>
                <w:rFonts w:hint="eastAsia"/>
              </w:rPr>
              <w:t>9.3</w:t>
            </w:r>
          </w:p>
        </w:tc>
        <w:tc>
          <w:tcPr>
            <w:tcW w:w="10004" w:type="dxa"/>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hint="eastAsia" w:ascii="宋体" w:hAnsi="宋体"/>
                <w:u w:val="single"/>
                <w:lang w:val="en-US" w:eastAsia="zh-CN"/>
              </w:rPr>
              <w:t>20</w:t>
            </w:r>
            <w:r>
              <w:rPr>
                <w:rFonts w:ascii="宋体" w:hAnsi="宋体"/>
                <w:u w:val="single"/>
              </w:rPr>
              <w:t xml:space="preserve">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u w:val="single"/>
                <w:lang w:val="en-US" w:eastAsia="zh-CN"/>
              </w:rPr>
              <w:t>11</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10</w:t>
            </w:r>
            <w:r>
              <w:rPr>
                <w:rFonts w:hint="eastAsia" w:ascii="宋体" w:hAnsi="宋体"/>
                <w:u w:val="single"/>
              </w:rPr>
              <w:t>　</w:t>
            </w:r>
            <w:r>
              <w:rPr>
                <w:rFonts w:hint="eastAsia" w:ascii="宋体" w:hAnsi="宋体"/>
              </w:rPr>
              <w:t>日实施，由最高管理者：</w:t>
            </w:r>
            <w:r>
              <w:rPr>
                <w:rFonts w:hint="eastAsia" w:ascii="宋体" w:hAnsi="宋体"/>
                <w:lang w:val="en-US" w:eastAsia="zh-CN"/>
              </w:rPr>
              <w:t>焦德尚</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3"/>
              <w:spacing w:after="0" w:line="360" w:lineRule="auto"/>
              <w:ind w:left="0" w:leftChars="0"/>
              <w:rPr>
                <w:rFonts w:ascii="宋体" w:hAnsi="宋体"/>
                <w:szCs w:val="21"/>
              </w:rPr>
            </w:pPr>
            <w:r>
              <w:rPr>
                <w:rFonts w:ascii="宋体" w:hAnsi="宋体"/>
              </w:rPr>
              <w:t>3</w:t>
            </w:r>
            <w:r>
              <w:rPr>
                <w:rFonts w:hint="eastAsia" w:ascii="宋体" w:hAnsi="宋体"/>
              </w:rPr>
              <w:t>、管理评审报告对</w:t>
            </w:r>
            <w:r>
              <w:rPr>
                <w:rFonts w:hint="eastAsia"/>
              </w:rPr>
              <w:sym w:font="Wingdings 2" w:char="00A3"/>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u w:val="single"/>
              </w:rPr>
              <w:t>环境</w:t>
            </w:r>
            <w:r>
              <w:rPr>
                <w:rFonts w:ascii="宋体" w:hAnsi="宋体"/>
                <w:u w:val="single"/>
              </w:rPr>
              <w:t>职业健康</w:t>
            </w:r>
            <w:r>
              <w:rPr>
                <w:rFonts w:hint="eastAsia" w:ascii="宋体" w:hAnsi="宋体"/>
                <w:u w:val="single"/>
              </w:rPr>
              <w:t>安全管理体系运行是有效的，资源提供是充分的，方针目标是适宜的。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bookmarkStart w:id="1" w:name="_GoBack"/>
            <w:bookmarkEnd w:id="1"/>
          </w:p>
        </w:tc>
        <w:tc>
          <w:tcPr>
            <w:tcW w:w="960" w:type="dxa"/>
          </w:tcPr>
          <w:p/>
        </w:tc>
        <w:tc>
          <w:tcPr>
            <w:tcW w:w="10004" w:type="dxa"/>
          </w:tcPr>
          <w:p/>
        </w:tc>
        <w:tc>
          <w:tcPr>
            <w:tcW w:w="1585" w:type="dxa"/>
          </w:tcPr>
          <w:p/>
        </w:tc>
      </w:tr>
    </w:tbl>
    <w:p>
      <w:r>
        <w:ptab w:relativeTo="margin" w:alignment="center" w:leader="none"/>
      </w:r>
    </w:p>
    <w:p/>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2301E78"/>
    <w:rsid w:val="7F633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2020-11-13T06:50:56Z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