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成都惠好商业管理有限公司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O：35.15.00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物业管理服务流程：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项目投标策划和获得管理合同——项目物业的接收管理——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项目日常管理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——跟踪改进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维修服务流程：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接受派工——前往查勘——与客户沟通维修方式——维修——填定《维修单》——客户确认——维修场地清理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巡逻岗操作流程：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巡逻班长各岗位巡查——每班巡楼一至两次（坐电梯上天台，从上至下仔细对房屋本体、公共设施、消防、防盗设施等巡视）——仔细发现和消除各种隐患——填写巡楼记录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保洁服务流程图：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清洁药水的配置→清洁工具的配置→清扫过道→湿拖过道→清洁厕所→清扫办公室→垃圾清运→整理工具、药水→检查→整改→复检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关键控制点：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安全巡查、保洁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火灾、固体废弃物、扬尘，采取分类收集、管理方案和预案措施管理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火灾、触电、高空坠落、摔伤，采取制定管理方案控制，潜在火灾采取应急预案并演练方式进行控制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中华人民共和国劳动合同法、</w:t>
            </w:r>
            <w:r>
              <w:rPr>
                <w:rFonts w:ascii="宋体" w:hAnsi="宋体" w:cs="Arial"/>
                <w:color w:val="000000"/>
                <w:sz w:val="21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中华人民共和国安全生产法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《清洁条例》《物权法》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污水排入城镇下水道水质标准（</w:t>
            </w:r>
            <w:r>
              <w:rPr>
                <w:rFonts w:ascii="宋体" w:hAnsi="宋体"/>
                <w:sz w:val="21"/>
                <w:szCs w:val="21"/>
              </w:rPr>
              <w:t>GB/T 31962-2015</w:t>
            </w:r>
            <w:r>
              <w:rPr>
                <w:rFonts w:hint="eastAsia" w:ascii="宋体" w:hAnsi="宋体"/>
                <w:sz w:val="21"/>
                <w:szCs w:val="21"/>
              </w:rPr>
              <w:t>）、大气污染物综合排放标准（</w:t>
            </w:r>
            <w:r>
              <w:rPr>
                <w:rFonts w:ascii="宋体" w:hAnsi="宋体"/>
                <w:sz w:val="21"/>
                <w:szCs w:val="21"/>
              </w:rPr>
              <w:t>GB 16297-1996</w:t>
            </w:r>
            <w:r>
              <w:rPr>
                <w:rFonts w:hint="eastAsia" w:ascii="宋体" w:hAnsi="宋体"/>
                <w:sz w:val="21"/>
                <w:szCs w:val="21"/>
              </w:rPr>
              <w:t>）等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exac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2758440</wp:posOffset>
                  </wp:positionH>
                  <wp:positionV relativeFrom="paragraph">
                    <wp:posOffset>452120</wp:posOffset>
                  </wp:positionV>
                  <wp:extent cx="323850" cy="335280"/>
                  <wp:effectExtent l="0" t="0" r="0" b="7620"/>
                  <wp:wrapNone/>
                  <wp:docPr id="1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22860</wp:posOffset>
            </wp:positionV>
            <wp:extent cx="323850" cy="335280"/>
            <wp:effectExtent l="0" t="0" r="0" b="762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2020.11.21</w:t>
      </w:r>
      <w:r>
        <w:rPr>
          <w:rFonts w:ascii="宋体"/>
          <w:b/>
          <w:sz w:val="22"/>
          <w:szCs w:val="22"/>
        </w:rPr>
        <w:t xml:space="preserve">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2020.11.21</w:t>
      </w:r>
      <w:r>
        <w:rPr>
          <w:rFonts w:ascii="宋体"/>
          <w:b/>
          <w:sz w:val="22"/>
          <w:szCs w:val="22"/>
        </w:rPr>
        <w:t xml:space="preserve"> 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2467760"/>
    <w:rsid w:val="128154EC"/>
    <w:rsid w:val="139B5E64"/>
    <w:rsid w:val="16ED3738"/>
    <w:rsid w:val="32A211BA"/>
    <w:rsid w:val="3304639E"/>
    <w:rsid w:val="3A2C4911"/>
    <w:rsid w:val="3CA45174"/>
    <w:rsid w:val="47273216"/>
    <w:rsid w:val="64BE3A2F"/>
    <w:rsid w:val="684462E6"/>
    <w:rsid w:val="69DE0D87"/>
    <w:rsid w:val="6FD9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2020-11-19T15:58:08Z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