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73"/>
        <w:gridCol w:w="1186"/>
        <w:gridCol w:w="567"/>
        <w:gridCol w:w="797"/>
        <w:gridCol w:w="621"/>
        <w:gridCol w:w="425"/>
        <w:gridCol w:w="425"/>
        <w:gridCol w:w="149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四川省晨田机床制造有限公司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0594-2020-QEO</w:t>
            </w:r>
            <w:bookmarkEnd w:id="1"/>
          </w:p>
        </w:tc>
        <w:tc>
          <w:tcPr>
            <w:tcW w:w="118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18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104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66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陈帮勇</w:t>
            </w:r>
          </w:p>
        </w:tc>
        <w:tc>
          <w:tcPr>
            <w:tcW w:w="118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6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46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Q：金属切削机床制造</w:t>
            </w:r>
          </w:p>
          <w:p>
            <w:r>
              <w:t>E：金属切削机床制造所涉及的相关环境管理活动</w:t>
            </w:r>
          </w:p>
          <w:p>
            <w:r>
              <w:t>O：金属切削机床制造所涉及的相关职业健康安全管理活动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Q：18.04.01</w:t>
            </w:r>
          </w:p>
          <w:p>
            <w:r>
              <w:t>E：18.04.01</w:t>
            </w:r>
          </w:p>
          <w:p>
            <w:r>
              <w:t>O：18.04.01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2020年11月16日 上午至2020年11月16日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凌万春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15503232345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925" w:tblpY="3"/>
        <w:tblOverlap w:val="never"/>
        <w:tblW w:w="10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25"/>
        <w:gridCol w:w="646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6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8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79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4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8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余家龙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冷校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宋明珠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凌万春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</w:trPr>
        <w:tc>
          <w:tcPr>
            <w:tcW w:w="79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vAlign w:val="center"/>
          </w:tcPr>
          <w:p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</w:tc>
        <w:tc>
          <w:tcPr>
            <w:tcW w:w="1881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余家龙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冷校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宋明珠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凌万春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79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881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79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4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8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余家龙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冷校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宋明珠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凌万春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E26F82"/>
    <w:multiLevelType w:val="singleLevel"/>
    <w:tmpl w:val="C7E26F8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B357C"/>
    <w:rsid w:val="287A5A2E"/>
    <w:rsid w:val="7EF42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2020-11-20T04:02:17Z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