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center"/>
        <w:rPr>
          <w:rFonts w:hint="default" w:ascii="宋体" w:cs="Times New Roman" w:eastAsiaTheme="minorEastAsia"/>
          <w:b/>
          <w:bCs/>
          <w:i w:val="0"/>
          <w:iCs w:val="0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olor w:val="0000FF"/>
          <w:sz w:val="20"/>
          <w:szCs w:val="28"/>
          <w:lang w:val="en-US" w:eastAsia="zh-CN"/>
        </w:rPr>
        <w:t xml:space="preserve">                                                                      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8"/>
        </w:rPr>
        <w:t>：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8"/>
          <w:u w:val="single"/>
          <w:lang w:val="en-US" w:eastAsia="zh-CN"/>
        </w:rPr>
        <w:t>0008</w:t>
      </w:r>
      <w:r>
        <w:rPr>
          <w:color w:val="auto"/>
          <w:szCs w:val="21"/>
          <w:u w:val="single"/>
        </w:rPr>
        <w:t>-20</w:t>
      </w:r>
      <w:r>
        <w:rPr>
          <w:rFonts w:hint="eastAsia"/>
          <w:color w:val="auto"/>
          <w:szCs w:val="21"/>
          <w:u w:val="single"/>
          <w:lang w:val="en-US" w:eastAsia="zh-CN"/>
        </w:rPr>
        <w:t>20-2020</w:t>
      </w:r>
    </w:p>
    <w:tbl>
      <w:tblPr>
        <w:tblStyle w:val="5"/>
        <w:tblpPr w:leftFromText="180" w:rightFromText="180" w:vertAnchor="page" w:horzAnchor="page" w:tblpX="721" w:tblpY="3025"/>
        <w:tblOverlap w:val="never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33"/>
        <w:gridCol w:w="1213"/>
        <w:gridCol w:w="1129"/>
        <w:gridCol w:w="1200"/>
        <w:gridCol w:w="1389"/>
        <w:gridCol w:w="1659"/>
        <w:gridCol w:w="1132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企业名称</w:t>
            </w:r>
          </w:p>
        </w:tc>
        <w:tc>
          <w:tcPr>
            <w:tcW w:w="606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大庆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瑞兴嘉机械制造有限公司</w:t>
            </w:r>
          </w:p>
        </w:tc>
        <w:tc>
          <w:tcPr>
            <w:tcW w:w="1659" w:type="dxa"/>
            <w:vAlign w:val="center"/>
          </w:tcPr>
          <w:p>
            <w:pPr>
              <w:ind w:firstLine="75" w:firstLineChars="50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测量设备名称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编号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型号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规格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/最大允许误差/测量不确定度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测量标准置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检定/校准机构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检定/校准日期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符合打√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车间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00000115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大庆油田计量检定测试所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2019.12.11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质检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0064213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大庆油田计量检定测试所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2020.1.4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津制00000115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大庆油田计量检定测试所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2020.1.4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090612185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MPa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数字压力表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0.05级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大庆油田计量检定测试所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2020.11.11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乙炔表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02010115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（0-4）MPa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w w:val="1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w w:val="100"/>
                <w:kern w:val="0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数字压力表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0.05级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大庆油田计量检定测试所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2020.11.11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0054213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w w:val="1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大庆油田计量检定测试所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2019.12.11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质检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部 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千分尺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B996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w w:val="1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大庆油田计量检定测试所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2019.12.13</w:t>
            </w:r>
          </w:p>
        </w:tc>
        <w:tc>
          <w:tcPr>
            <w:tcW w:w="6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质检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绝缘电阻表</w:t>
            </w:r>
          </w:p>
        </w:tc>
        <w:tc>
          <w:tcPr>
            <w:tcW w:w="1213" w:type="dxa"/>
            <w:vAlign w:val="center"/>
          </w:tcPr>
          <w:p>
            <w:pPr>
              <w:ind w:firstLine="300" w:firstLineChars="200"/>
              <w:jc w:val="both"/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ZC-7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14030565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10(相当于弧长的1级)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绝缘电阻表检定装置0.2级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大庆油田计量检定测试所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2019.12.31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里氏硬度计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18A069541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SW-6210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±0.2HLD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里氏硬度块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4级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大庆油田计量检定测试所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2019.12.11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0361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审核综合意見：</w:t>
            </w:r>
          </w:p>
          <w:p>
            <w:pPr>
              <w:ind w:firstLine="30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抽查企业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测量设备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送检至有相应资质的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eastAsia="zh-CN"/>
              </w:rPr>
              <w:t>大庆油田计量检定测试所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机构检定、校准，量值溯源符合文件要求。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3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40"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审核日期：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年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40"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审核员签字：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部门代表签字：</w:t>
            </w:r>
          </w:p>
        </w:tc>
      </w:tr>
    </w:tbl>
    <w:p>
      <w:pPr>
        <w:spacing w:before="100" w:beforeAutospacing="1" w:after="240"/>
        <w:jc w:val="both"/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15"/>
          <w:szCs w:val="15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A5146B"/>
    <w:rsid w:val="06B86AA7"/>
    <w:rsid w:val="06C206CF"/>
    <w:rsid w:val="06DB66E5"/>
    <w:rsid w:val="07402B3E"/>
    <w:rsid w:val="075A6F77"/>
    <w:rsid w:val="09C202D7"/>
    <w:rsid w:val="09CD68B1"/>
    <w:rsid w:val="0A0014CB"/>
    <w:rsid w:val="0A9E2E3D"/>
    <w:rsid w:val="0B3848CF"/>
    <w:rsid w:val="0B795F19"/>
    <w:rsid w:val="0C43603C"/>
    <w:rsid w:val="0C54310F"/>
    <w:rsid w:val="0CB60CA2"/>
    <w:rsid w:val="0CED6E34"/>
    <w:rsid w:val="0D091A8B"/>
    <w:rsid w:val="0DDB3F5A"/>
    <w:rsid w:val="10267041"/>
    <w:rsid w:val="10C05458"/>
    <w:rsid w:val="11661E8D"/>
    <w:rsid w:val="12FA27DC"/>
    <w:rsid w:val="13A020BB"/>
    <w:rsid w:val="14312CB8"/>
    <w:rsid w:val="145F3A5F"/>
    <w:rsid w:val="14BC4A25"/>
    <w:rsid w:val="160F68B3"/>
    <w:rsid w:val="16623D8E"/>
    <w:rsid w:val="16A736F1"/>
    <w:rsid w:val="16DB245A"/>
    <w:rsid w:val="16E70136"/>
    <w:rsid w:val="1A7349E6"/>
    <w:rsid w:val="1BAE1358"/>
    <w:rsid w:val="1C175E62"/>
    <w:rsid w:val="1E4777E0"/>
    <w:rsid w:val="1EA15349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454420"/>
    <w:rsid w:val="2C71736B"/>
    <w:rsid w:val="2C76336F"/>
    <w:rsid w:val="2D0304F4"/>
    <w:rsid w:val="2E132EA6"/>
    <w:rsid w:val="2E7B5BEB"/>
    <w:rsid w:val="30C046B9"/>
    <w:rsid w:val="316546E0"/>
    <w:rsid w:val="32B82631"/>
    <w:rsid w:val="32FA2076"/>
    <w:rsid w:val="34283294"/>
    <w:rsid w:val="346262B1"/>
    <w:rsid w:val="35C35931"/>
    <w:rsid w:val="381F5BA7"/>
    <w:rsid w:val="3834156D"/>
    <w:rsid w:val="3A7C2C44"/>
    <w:rsid w:val="3AB260A4"/>
    <w:rsid w:val="3CAC5E09"/>
    <w:rsid w:val="3E445435"/>
    <w:rsid w:val="3F04448D"/>
    <w:rsid w:val="3F5E6413"/>
    <w:rsid w:val="3F9A56D5"/>
    <w:rsid w:val="41361EEC"/>
    <w:rsid w:val="4206500A"/>
    <w:rsid w:val="42B41254"/>
    <w:rsid w:val="43B473A8"/>
    <w:rsid w:val="43D666FA"/>
    <w:rsid w:val="449F0253"/>
    <w:rsid w:val="44D9387E"/>
    <w:rsid w:val="45713F9F"/>
    <w:rsid w:val="476B1C27"/>
    <w:rsid w:val="47BA1D9A"/>
    <w:rsid w:val="489915DA"/>
    <w:rsid w:val="4A77221D"/>
    <w:rsid w:val="4B416954"/>
    <w:rsid w:val="4B7C002F"/>
    <w:rsid w:val="4B9A5C1D"/>
    <w:rsid w:val="4BA94934"/>
    <w:rsid w:val="4C200BE7"/>
    <w:rsid w:val="4F1204A0"/>
    <w:rsid w:val="50F9466D"/>
    <w:rsid w:val="51554606"/>
    <w:rsid w:val="54697A53"/>
    <w:rsid w:val="54954B72"/>
    <w:rsid w:val="54964BF9"/>
    <w:rsid w:val="54B62356"/>
    <w:rsid w:val="54F00911"/>
    <w:rsid w:val="568E6A30"/>
    <w:rsid w:val="56AC0165"/>
    <w:rsid w:val="56BB7E7A"/>
    <w:rsid w:val="5C98550A"/>
    <w:rsid w:val="5E254428"/>
    <w:rsid w:val="5F537EB1"/>
    <w:rsid w:val="60A73F87"/>
    <w:rsid w:val="624F6551"/>
    <w:rsid w:val="649A2842"/>
    <w:rsid w:val="665D0789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EAB17DC"/>
    <w:rsid w:val="6FBF39C1"/>
    <w:rsid w:val="6FD72DC6"/>
    <w:rsid w:val="6FFD6BA8"/>
    <w:rsid w:val="70627A55"/>
    <w:rsid w:val="708F1B14"/>
    <w:rsid w:val="712979E9"/>
    <w:rsid w:val="724F016D"/>
    <w:rsid w:val="72962A6B"/>
    <w:rsid w:val="74B95996"/>
    <w:rsid w:val="768D1D68"/>
    <w:rsid w:val="777571F9"/>
    <w:rsid w:val="779A4960"/>
    <w:rsid w:val="784B4F7F"/>
    <w:rsid w:val="79097CF8"/>
    <w:rsid w:val="794D3E6A"/>
    <w:rsid w:val="79E24574"/>
    <w:rsid w:val="79FD24A5"/>
    <w:rsid w:val="7A481864"/>
    <w:rsid w:val="7B18314A"/>
    <w:rsid w:val="7B7A16A4"/>
    <w:rsid w:val="7BB21708"/>
    <w:rsid w:val="7C125B5E"/>
    <w:rsid w:val="7C194E41"/>
    <w:rsid w:val="7CBF5C87"/>
    <w:rsid w:val="7D737B9C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43</TotalTime>
  <ScaleCrop>false</ScaleCrop>
  <LinksUpToDate>false</LinksUpToDate>
  <CharactersWithSpaces>1003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cp:lastPrinted>2020-01-08T02:39:00Z</cp:lastPrinted>
  <dcterms:modified xsi:type="dcterms:W3CDTF">2020-11-19T04:52:28Z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