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24"/>
        </w:rPr>
      </w:pPr>
      <w:r>
        <w:rPr>
          <w:b/>
          <w:bCs/>
          <w:sz w:val="24"/>
        </w:rPr>
        <w:t>附录A：</w:t>
      </w:r>
    </w:p>
    <w:p>
      <w:pPr>
        <w:pStyle w:val="2"/>
        <w:spacing w:line="240" w:lineRule="auto"/>
        <w:jc w:val="center"/>
        <w:rPr>
          <w:b/>
          <w:bCs/>
          <w:snapToGrid w:val="0"/>
          <w:kern w:val="0"/>
          <w:sz w:val="24"/>
        </w:rPr>
      </w:pPr>
      <w:r>
        <w:rPr>
          <w:rFonts w:hint="eastAsia"/>
          <w:b/>
          <w:bCs/>
          <w:sz w:val="24"/>
          <w:lang w:val="en-US" w:eastAsia="zh-CN"/>
        </w:rPr>
        <w:t>接装纸芯壁厚</w:t>
      </w:r>
      <w:r>
        <w:rPr>
          <w:b/>
          <w:bCs/>
          <w:sz w:val="24"/>
        </w:rPr>
        <w:t>测量</w:t>
      </w:r>
      <w:r>
        <w:rPr>
          <w:b/>
          <w:bCs/>
          <w:snapToGrid w:val="0"/>
          <w:kern w:val="0"/>
          <w:sz w:val="24"/>
        </w:rPr>
        <w:t>不确定度评定报告</w:t>
      </w:r>
    </w:p>
    <w:p>
      <w:pPr>
        <w:spacing w:line="360" w:lineRule="auto"/>
        <w:rPr>
          <w:bCs/>
          <w:sz w:val="24"/>
        </w:rPr>
      </w:pPr>
      <w:r>
        <w:rPr>
          <w:bCs/>
          <w:sz w:val="24"/>
        </w:rPr>
        <w:t>1、测量过程</w:t>
      </w:r>
      <w:r>
        <w:rPr>
          <w:sz w:val="24"/>
        </w:rPr>
        <w:br w:type="textWrapping"/>
      </w:r>
      <w:r>
        <w:rPr>
          <w:bCs/>
          <w:sz w:val="24"/>
        </w:rPr>
        <w:t>1.1</w:t>
      </w:r>
      <w:r>
        <w:rPr>
          <w:sz w:val="24"/>
        </w:rPr>
        <w:t>、测量方</w:t>
      </w:r>
      <w:r>
        <w:rPr>
          <w:sz w:val="24"/>
          <w:szCs w:val="24"/>
        </w:rPr>
        <w:t>法：</w:t>
      </w:r>
      <w:r>
        <w:rPr>
          <w:rFonts w:hint="eastAsia" w:ascii="Times New Roman" w:hAnsi="Times New Roman" w:eastAsia="宋体" w:cs="Times New Roman"/>
          <w:color w:val="auto"/>
          <w:kern w:val="2"/>
          <w:sz w:val="24"/>
          <w:szCs w:val="24"/>
          <w:lang w:val="en-US" w:eastAsia="zh-CN" w:bidi="ar"/>
        </w:rPr>
        <w:t>Q/CDH 102 002.2-2017烟用接装</w:t>
      </w:r>
      <w:r>
        <w:rPr>
          <w:rFonts w:hint="eastAsia" w:ascii="Times New Roman" w:hAnsi="Times New Roman" w:eastAsia="宋体" w:cs="Times New Roman"/>
          <w:color w:val="auto"/>
          <w:kern w:val="2"/>
          <w:sz w:val="21"/>
          <w:szCs w:val="21"/>
          <w:lang w:val="en-US" w:eastAsia="zh-CN" w:bidi="ar"/>
        </w:rPr>
        <w:t>纸成品检验规程</w:t>
      </w:r>
      <w:r>
        <w:rPr>
          <w:rFonts w:hint="default" w:ascii="Times New Roman" w:hAnsi="Times New Roman" w:eastAsia="宋体" w:cs="Times New Roman"/>
          <w:color w:val="auto"/>
          <w:kern w:val="2"/>
          <w:sz w:val="21"/>
          <w:szCs w:val="21"/>
          <w:lang w:val="en-US" w:eastAsia="zh-CN" w:bidi="ar"/>
        </w:rPr>
        <w:t xml:space="preserve"> </w:t>
      </w:r>
      <w:r>
        <w:rPr>
          <w:sz w:val="24"/>
        </w:rPr>
        <w:t>及仪器使用说明书和相关操作规范</w:t>
      </w:r>
      <w:r>
        <w:rPr>
          <w:bCs/>
          <w:sz w:val="24"/>
        </w:rPr>
        <w:t>进行测量。</w:t>
      </w:r>
    </w:p>
    <w:p>
      <w:pPr>
        <w:spacing w:line="360" w:lineRule="auto"/>
        <w:rPr>
          <w:color w:val="auto"/>
          <w:sz w:val="24"/>
        </w:rPr>
      </w:pPr>
      <w:r>
        <w:rPr>
          <w:color w:val="000000" w:themeColor="text1"/>
          <w:sz w:val="24"/>
          <w14:textFill>
            <w14:solidFill>
              <w14:schemeClr w14:val="tx1"/>
            </w14:solidFill>
          </w14:textFill>
        </w:rPr>
        <w:t>1.2、环境条件：</w:t>
      </w:r>
      <w:r>
        <w:rPr>
          <w:color w:val="auto"/>
          <w:sz w:val="24"/>
        </w:rPr>
        <w:t>（23±</w:t>
      </w:r>
      <w:r>
        <w:rPr>
          <w:rFonts w:hint="eastAsia"/>
          <w:color w:val="auto"/>
          <w:sz w:val="24"/>
          <w:lang w:val="en-US" w:eastAsia="zh-CN"/>
        </w:rPr>
        <w:t>2</w:t>
      </w:r>
      <w:r>
        <w:rPr>
          <w:color w:val="auto"/>
          <w:sz w:val="24"/>
        </w:rPr>
        <w:t>）℃，(50±</w:t>
      </w:r>
      <w:r>
        <w:rPr>
          <w:rFonts w:hint="eastAsia"/>
          <w:color w:val="auto"/>
          <w:sz w:val="24"/>
          <w:lang w:val="en-US" w:eastAsia="zh-CN"/>
        </w:rPr>
        <w:t>10</w:t>
      </w:r>
      <w:r>
        <w:rPr>
          <w:color w:val="auto"/>
          <w:sz w:val="24"/>
        </w:rPr>
        <w:t>)%RH</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rFonts w:hint="eastAsia"/>
          <w:color w:val="000000" w:themeColor="text1"/>
          <w:sz w:val="24"/>
          <w:lang w:val="en-US" w:eastAsia="zh-CN"/>
          <w14:textFill>
            <w14:solidFill>
              <w14:schemeClr w14:val="tx1"/>
            </w14:solidFill>
          </w14:textFill>
        </w:rPr>
        <w:t>游标卡尺</w:t>
      </w:r>
      <w:r>
        <w:rPr>
          <w:sz w:val="24"/>
        </w:rPr>
        <w:t>，测量范围(0～</w:t>
      </w:r>
      <w:r>
        <w:rPr>
          <w:rFonts w:hint="eastAsia"/>
          <w:sz w:val="24"/>
          <w:lang w:val="en-US" w:eastAsia="zh-CN"/>
        </w:rPr>
        <w:t>150</w:t>
      </w:r>
      <w:r>
        <w:rPr>
          <w:sz w:val="24"/>
        </w:rPr>
        <w:t>)mm，</w:t>
      </w:r>
      <w:r>
        <w:rPr>
          <w:rFonts w:hint="eastAsia"/>
          <w:sz w:val="24"/>
        </w:rPr>
        <w:t>示值误差</w:t>
      </w:r>
      <w:r>
        <w:rPr>
          <w:sz w:val="24"/>
        </w:rPr>
        <w:t>±</w:t>
      </w:r>
      <w:r>
        <w:rPr>
          <w:rFonts w:hint="eastAsia"/>
          <w:sz w:val="24"/>
          <w:lang w:val="en-US" w:eastAsia="zh-CN"/>
        </w:rPr>
        <w:t>0.02m</w:t>
      </w:r>
      <w:r>
        <w:rPr>
          <w:sz w:val="24"/>
        </w:rPr>
        <w:t>m.</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sz w:val="24"/>
          <w:lang w:val="en-US" w:eastAsia="zh-CN"/>
        </w:rPr>
        <w:t>壁厚</w:t>
      </w:r>
      <w:r>
        <w:rPr>
          <w:sz w:val="24"/>
        </w:rPr>
        <w:t>：（</w:t>
      </w:r>
      <w:r>
        <w:rPr>
          <w:rFonts w:hint="eastAsia"/>
          <w:sz w:val="24"/>
          <w:lang w:val="en-US" w:eastAsia="zh-CN"/>
        </w:rPr>
        <w:t>5.0</w:t>
      </w:r>
      <w:r>
        <w:rPr>
          <w:sz w:val="24"/>
        </w:rPr>
        <w:t>±</w:t>
      </w:r>
      <w:r>
        <w:rPr>
          <w:rFonts w:hint="eastAsia"/>
          <w:sz w:val="24"/>
          <w:lang w:val="en-US" w:eastAsia="zh-CN"/>
        </w:rPr>
        <w:t>0.2</w:t>
      </w:r>
      <w:r>
        <w:rPr>
          <w:sz w:val="24"/>
        </w:rPr>
        <w:t>）</w:t>
      </w:r>
      <w:r>
        <w:rPr>
          <w:rFonts w:hint="eastAsia"/>
          <w:sz w:val="24"/>
          <w:lang w:val="en-US" w:eastAsia="zh-CN"/>
        </w:rPr>
        <w:t>m</w:t>
      </w:r>
      <w:r>
        <w:rPr>
          <w:sz w:val="24"/>
        </w:rPr>
        <w:t>m</w:t>
      </w:r>
      <w:r>
        <w:rPr>
          <w:color w:val="000000" w:themeColor="text1"/>
          <w:kern w:val="0"/>
          <w:sz w:val="24"/>
          <w14:textFill>
            <w14:solidFill>
              <w14:schemeClr w14:val="tx1"/>
            </w14:solidFill>
          </w14:textFill>
        </w:rPr>
        <w:t>。</w:t>
      </w:r>
    </w:p>
    <w:p>
      <w:pPr>
        <w:spacing w:line="360" w:lineRule="auto"/>
        <w:ind w:left="480" w:hanging="480" w:hangingChars="200"/>
        <w:rPr>
          <w:rFonts w:hint="eastAsia" w:eastAsia="宋体"/>
          <w:b/>
          <w:bCs/>
          <w:color w:val="FF0000"/>
          <w:sz w:val="24"/>
          <w:lang w:eastAsia="zh-CN"/>
        </w:rPr>
      </w:pPr>
      <w:r>
        <w:rPr>
          <w:color w:val="000000" w:themeColor="text1"/>
          <w:sz w:val="24"/>
          <w14:textFill>
            <w14:solidFill>
              <w14:schemeClr w14:val="tx1"/>
            </w14:solidFill>
          </w14:textFill>
        </w:rPr>
        <w:t>1.5、测量过程：将被测件稳固放置，</w:t>
      </w:r>
      <w:r>
        <w:rPr>
          <w:sz w:val="24"/>
        </w:rPr>
        <w:t>将</w:t>
      </w:r>
      <w:r>
        <w:rPr>
          <w:rFonts w:hint="eastAsia"/>
          <w:sz w:val="24"/>
          <w:lang w:val="en-US" w:eastAsia="zh-CN"/>
        </w:rPr>
        <w:t>游标卡尺</w:t>
      </w:r>
      <w:r>
        <w:rPr>
          <w:sz w:val="24"/>
        </w:rPr>
        <w:t>对准零位后，测量</w:t>
      </w:r>
      <w:r>
        <w:rPr>
          <w:rFonts w:hint="eastAsia"/>
          <w:sz w:val="24"/>
          <w:lang w:val="en-US" w:eastAsia="zh-CN"/>
        </w:rPr>
        <w:t>壁厚</w:t>
      </w:r>
      <w:r>
        <w:rPr>
          <w:sz w:val="24"/>
        </w:rPr>
        <w:t>尺寸，读取</w:t>
      </w:r>
      <w:r>
        <w:rPr>
          <w:rFonts w:hint="eastAsia"/>
          <w:sz w:val="24"/>
          <w:lang w:val="en-US" w:eastAsia="zh-CN"/>
        </w:rPr>
        <w:t>游标卡尺</w:t>
      </w:r>
      <w:r>
        <w:rPr>
          <w:sz w:val="24"/>
        </w:rPr>
        <w:t>的示值即为</w:t>
      </w:r>
      <w:r>
        <w:rPr>
          <w:rFonts w:hint="eastAsia"/>
          <w:sz w:val="24"/>
          <w:lang w:val="en-US" w:eastAsia="zh-CN"/>
        </w:rPr>
        <w:t>壁厚</w:t>
      </w:r>
      <w:r>
        <w:rPr>
          <w:sz w:val="24"/>
        </w:rPr>
        <w:t>尺寸，记录数据</w:t>
      </w:r>
      <w:r>
        <w:rPr>
          <w:rFonts w:hint="eastAsia"/>
          <w:sz w:val="24"/>
          <w:lang w:eastAsia="zh-CN"/>
        </w:rPr>
        <w:t>。</w:t>
      </w:r>
      <w:bookmarkStart w:id="1" w:name="_GoBack"/>
      <w:bookmarkEnd w:id="1"/>
    </w:p>
    <w:p>
      <w:pPr>
        <w:pStyle w:val="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w:rPr>
            <w:rFonts w:ascii="Cambria Math" w:hAnsi="Cambria Math"/>
            <w:position w:val="-4"/>
            <w:sz w:val="24"/>
          </w:rPr>
          <m:t>ΔL=L</m:t>
        </m:r>
      </m:oMath>
      <w:r>
        <w:rPr>
          <w:sz w:val="24"/>
        </w:rPr>
        <w:t xml:space="preserve">                                 </w:t>
      </w:r>
    </w:p>
    <w:p>
      <w:pPr>
        <w:spacing w:line="360" w:lineRule="auto"/>
        <w:ind w:firstLine="720" w:firstLineChars="300"/>
        <w:rPr>
          <w:sz w:val="24"/>
        </w:rPr>
      </w:pPr>
      <w:r>
        <w:rPr>
          <w:sz w:val="24"/>
        </w:rPr>
        <w:t>式中：</w:t>
      </w:r>
      <m:oMath>
        <m:r>
          <w:rPr>
            <w:rFonts w:ascii="Cambria Math" w:hAnsi="Cambria Math"/>
            <w:position w:val="-4"/>
            <w:sz w:val="24"/>
          </w:rPr>
          <m:t>ΔL</m:t>
        </m:r>
      </m:oMath>
      <w:r>
        <w:rPr>
          <w:sz w:val="24"/>
        </w:rPr>
        <w:t xml:space="preserve"> ---</w:t>
      </w:r>
      <w:r>
        <w:rPr>
          <w:rFonts w:hint="eastAsia"/>
          <w:sz w:val="24"/>
          <w:lang w:val="en-US" w:eastAsia="zh-CN"/>
        </w:rPr>
        <w:t>壁厚</w:t>
      </w:r>
      <w:r>
        <w:rPr>
          <w:kern w:val="0"/>
          <w:sz w:val="24"/>
        </w:rPr>
        <w:t>测量结果</w:t>
      </w:r>
    </w:p>
    <w:p>
      <w:pPr>
        <w:pStyle w:val="9"/>
        <w:spacing w:line="360" w:lineRule="auto"/>
        <w:ind w:firstLine="1440" w:firstLineChars="600"/>
        <w:rPr>
          <w:sz w:val="24"/>
        </w:rPr>
      </w:pPr>
      <w:r>
        <w:rPr>
          <w:sz w:val="24"/>
        </w:rPr>
        <w:t>L----</w:t>
      </w:r>
      <w:r>
        <w:rPr>
          <w:rFonts w:hint="eastAsia"/>
          <w:sz w:val="24"/>
          <w:lang w:val="en-US" w:eastAsia="zh-CN"/>
        </w:rPr>
        <w:t>壁厚</w:t>
      </w:r>
      <w:r>
        <w:rPr>
          <w:sz w:val="24"/>
        </w:rPr>
        <w:t>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5" o:spt="75" type="#_x0000_t75" style="height:16.3pt;width:12.4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3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sz w:val="24"/>
        </w:rPr>
        <w:t>。</w:t>
      </w:r>
    </w:p>
    <w:p>
      <w:pPr>
        <w:rPr>
          <w:sz w:val="24"/>
        </w:rPr>
      </w:pPr>
      <w:r>
        <w:rPr>
          <w:sz w:val="24"/>
        </w:rPr>
        <w:t>3.1测量重复性引起的标准不确定度</w:t>
      </w:r>
      <w:r>
        <w:rPr>
          <w:position w:val="-10"/>
          <w:sz w:val="24"/>
        </w:rPr>
        <w:object>
          <v:shape id="_x0000_i1027" o:spt="75" type="#_x0000_t75" style="height:16.3pt;width:12.45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sz w:val="24"/>
        </w:rPr>
      </w:pPr>
      <w:r>
        <w:rPr>
          <w:sz w:val="24"/>
        </w:rPr>
        <w:t>做A类评定测量：在</w:t>
      </w:r>
      <w:r>
        <w:rPr>
          <w:rFonts w:hint="eastAsia"/>
          <w:sz w:val="24"/>
          <w:lang w:val="en-US" w:eastAsia="zh-CN"/>
        </w:rPr>
        <w:t>游标卡尺</w:t>
      </w:r>
      <w:r>
        <w:rPr>
          <w:sz w:val="24"/>
        </w:rPr>
        <w:t>正常工作状态下，同一组人，用同一台设备，在相临近的时间内，对被测试件连续测量10次，得10个测量数据汇于表1：</w:t>
      </w:r>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sz w:val="24"/>
              </w:rPr>
            </w:pPr>
            <w:r>
              <w:rPr>
                <w:sz w:val="24"/>
              </w:rPr>
              <w:t>序号</w:t>
            </w:r>
          </w:p>
        </w:tc>
        <w:tc>
          <w:tcPr>
            <w:tcW w:w="773"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773" w:type="dxa"/>
            <w:vAlign w:val="center"/>
          </w:tcPr>
          <w:p>
            <w:pPr>
              <w:widowControl/>
              <w:adjustRightInd w:val="0"/>
              <w:spacing w:line="360" w:lineRule="auto"/>
              <w:ind w:left="252"/>
              <w:jc w:val="center"/>
              <w:rPr>
                <w:sz w:val="24"/>
              </w:rPr>
            </w:pPr>
            <w:r>
              <w:rPr>
                <w:sz w:val="24"/>
              </w:rPr>
              <w:t>3</w:t>
            </w:r>
          </w:p>
        </w:tc>
        <w:tc>
          <w:tcPr>
            <w:tcW w:w="773" w:type="dxa"/>
            <w:vAlign w:val="center"/>
          </w:tcPr>
          <w:p>
            <w:pPr>
              <w:widowControl/>
              <w:adjustRightInd w:val="0"/>
              <w:spacing w:line="360" w:lineRule="auto"/>
              <w:ind w:firstLine="120" w:firstLineChars="50"/>
              <w:jc w:val="center"/>
              <w:rPr>
                <w:sz w:val="24"/>
              </w:rPr>
            </w:pPr>
            <w:r>
              <w:rPr>
                <w:sz w:val="24"/>
              </w:rPr>
              <w:t>4</w:t>
            </w:r>
          </w:p>
        </w:tc>
        <w:tc>
          <w:tcPr>
            <w:tcW w:w="773"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sz w:val="24"/>
              </w:rPr>
            </w:pPr>
            <w:r>
              <w:rPr>
                <w:sz w:val="24"/>
              </w:rPr>
              <w:t>L读数值(</w:t>
            </w:r>
            <w:r>
              <w:rPr>
                <w:rFonts w:hint="eastAsia"/>
                <w:sz w:val="24"/>
                <w:lang w:val="en-US" w:eastAsia="zh-CN"/>
              </w:rPr>
              <w:t>m</w:t>
            </w:r>
            <w:r>
              <w:rPr>
                <w:sz w:val="24"/>
              </w:rPr>
              <w:t>m)</w:t>
            </w:r>
          </w:p>
        </w:tc>
        <w:tc>
          <w:tcPr>
            <w:tcW w:w="773" w:type="dxa"/>
            <w:vAlign w:val="center"/>
          </w:tcPr>
          <w:p>
            <w:pPr>
              <w:jc w:val="center"/>
              <w:rPr>
                <w:rFonts w:hint="default" w:eastAsia="宋体"/>
                <w:kern w:val="0"/>
                <w:sz w:val="24"/>
                <w:lang w:val="en-US" w:eastAsia="zh-CN"/>
              </w:rPr>
            </w:pPr>
            <w:r>
              <w:rPr>
                <w:rFonts w:hint="eastAsia"/>
                <w:sz w:val="24"/>
                <w:lang w:val="en-US" w:eastAsia="zh-CN"/>
              </w:rPr>
              <w:t>5.12</w:t>
            </w:r>
          </w:p>
        </w:tc>
        <w:tc>
          <w:tcPr>
            <w:tcW w:w="773" w:type="dxa"/>
            <w:vAlign w:val="center"/>
          </w:tcPr>
          <w:p>
            <w:pPr>
              <w:rPr>
                <w:rFonts w:hint="default"/>
                <w:kern w:val="0"/>
                <w:sz w:val="24"/>
                <w:lang w:val="en-US"/>
              </w:rPr>
            </w:pPr>
            <w:r>
              <w:rPr>
                <w:rFonts w:hint="eastAsia"/>
                <w:sz w:val="24"/>
                <w:lang w:val="en-US" w:eastAsia="zh-CN"/>
              </w:rPr>
              <w:t>5.12</w:t>
            </w:r>
          </w:p>
        </w:tc>
        <w:tc>
          <w:tcPr>
            <w:tcW w:w="773" w:type="dxa"/>
            <w:vAlign w:val="center"/>
          </w:tcPr>
          <w:p>
            <w:pPr>
              <w:jc w:val="center"/>
              <w:rPr>
                <w:rFonts w:hint="default"/>
                <w:kern w:val="0"/>
                <w:sz w:val="24"/>
                <w:lang w:val="en-US"/>
              </w:rPr>
            </w:pPr>
            <w:r>
              <w:rPr>
                <w:rFonts w:hint="eastAsia"/>
                <w:sz w:val="24"/>
                <w:lang w:val="en-US" w:eastAsia="zh-CN"/>
              </w:rPr>
              <w:t>5.14</w:t>
            </w:r>
          </w:p>
        </w:tc>
        <w:tc>
          <w:tcPr>
            <w:tcW w:w="773" w:type="dxa"/>
            <w:vAlign w:val="center"/>
          </w:tcPr>
          <w:p>
            <w:pPr>
              <w:jc w:val="center"/>
              <w:rPr>
                <w:rFonts w:hint="default"/>
                <w:kern w:val="0"/>
                <w:sz w:val="24"/>
                <w:lang w:val="en-US"/>
              </w:rPr>
            </w:pPr>
            <w:r>
              <w:rPr>
                <w:rFonts w:hint="eastAsia"/>
                <w:sz w:val="24"/>
                <w:lang w:val="en-US" w:eastAsia="zh-CN"/>
              </w:rPr>
              <w:t>5.16</w:t>
            </w:r>
          </w:p>
        </w:tc>
        <w:tc>
          <w:tcPr>
            <w:tcW w:w="773" w:type="dxa"/>
            <w:vAlign w:val="center"/>
          </w:tcPr>
          <w:p>
            <w:pPr>
              <w:jc w:val="center"/>
              <w:rPr>
                <w:rFonts w:hint="default"/>
                <w:kern w:val="0"/>
                <w:sz w:val="24"/>
                <w:lang w:val="en-US"/>
              </w:rPr>
            </w:pPr>
            <w:r>
              <w:rPr>
                <w:rFonts w:hint="eastAsia"/>
                <w:sz w:val="24"/>
                <w:lang w:val="en-US" w:eastAsia="zh-CN"/>
              </w:rPr>
              <w:t>5.18</w:t>
            </w:r>
          </w:p>
        </w:tc>
        <w:tc>
          <w:tcPr>
            <w:tcW w:w="773" w:type="dxa"/>
            <w:vAlign w:val="center"/>
          </w:tcPr>
          <w:p>
            <w:pPr>
              <w:jc w:val="center"/>
              <w:rPr>
                <w:rFonts w:hint="default"/>
                <w:kern w:val="0"/>
                <w:sz w:val="24"/>
                <w:lang w:val="en-US"/>
              </w:rPr>
            </w:pPr>
            <w:r>
              <w:rPr>
                <w:rFonts w:hint="eastAsia"/>
                <w:sz w:val="24"/>
                <w:lang w:val="en-US" w:eastAsia="zh-CN"/>
              </w:rPr>
              <w:t>5.18</w:t>
            </w:r>
          </w:p>
        </w:tc>
        <w:tc>
          <w:tcPr>
            <w:tcW w:w="773" w:type="dxa"/>
            <w:vAlign w:val="center"/>
          </w:tcPr>
          <w:p>
            <w:pPr>
              <w:jc w:val="center"/>
              <w:rPr>
                <w:rFonts w:hint="default"/>
                <w:kern w:val="0"/>
                <w:sz w:val="24"/>
                <w:lang w:val="en-US"/>
              </w:rPr>
            </w:pPr>
            <w:r>
              <w:rPr>
                <w:rFonts w:hint="eastAsia"/>
                <w:sz w:val="24"/>
                <w:lang w:val="en-US" w:eastAsia="zh-CN"/>
              </w:rPr>
              <w:t>5.16</w:t>
            </w:r>
          </w:p>
        </w:tc>
        <w:tc>
          <w:tcPr>
            <w:tcW w:w="773" w:type="dxa"/>
            <w:vAlign w:val="center"/>
          </w:tcPr>
          <w:p>
            <w:pPr>
              <w:jc w:val="center"/>
              <w:rPr>
                <w:rFonts w:hint="default"/>
                <w:kern w:val="0"/>
                <w:sz w:val="24"/>
                <w:lang w:val="en-US"/>
              </w:rPr>
            </w:pPr>
            <w:r>
              <w:rPr>
                <w:rFonts w:hint="eastAsia"/>
                <w:sz w:val="24"/>
                <w:lang w:val="en-US" w:eastAsia="zh-CN"/>
              </w:rPr>
              <w:t>5.14</w:t>
            </w:r>
          </w:p>
        </w:tc>
        <w:tc>
          <w:tcPr>
            <w:tcW w:w="773" w:type="dxa"/>
            <w:vAlign w:val="center"/>
          </w:tcPr>
          <w:p>
            <w:pPr>
              <w:jc w:val="center"/>
              <w:rPr>
                <w:rFonts w:hint="default"/>
                <w:kern w:val="0"/>
                <w:sz w:val="24"/>
                <w:lang w:val="en-US"/>
              </w:rPr>
            </w:pPr>
            <w:r>
              <w:rPr>
                <w:rFonts w:hint="eastAsia"/>
                <w:sz w:val="24"/>
                <w:lang w:val="en-US" w:eastAsia="zh-CN"/>
              </w:rPr>
              <w:t>5.14</w:t>
            </w:r>
          </w:p>
        </w:tc>
        <w:tc>
          <w:tcPr>
            <w:tcW w:w="775" w:type="dxa"/>
            <w:vAlign w:val="center"/>
          </w:tcPr>
          <w:p>
            <w:pPr>
              <w:jc w:val="center"/>
              <w:rPr>
                <w:rFonts w:hint="default"/>
                <w:kern w:val="0"/>
                <w:sz w:val="24"/>
                <w:lang w:val="en-US"/>
              </w:rPr>
            </w:pPr>
            <w:r>
              <w:rPr>
                <w:rFonts w:hint="eastAsia"/>
                <w:sz w:val="24"/>
                <w:lang w:val="en-US" w:eastAsia="zh-CN"/>
              </w:rPr>
              <w:t>5.16</w:t>
            </w:r>
          </w:p>
        </w:tc>
      </w:tr>
    </w:tbl>
    <w:p>
      <w:pPr>
        <w:spacing w:line="360" w:lineRule="auto"/>
        <w:ind w:firstLine="720" w:firstLineChars="300"/>
        <w:rPr>
          <w:sz w:val="24"/>
        </w:rPr>
      </w:pPr>
      <w:r>
        <w:rPr>
          <w:sz w:val="24"/>
        </w:rPr>
        <w:t>被测试件测量值的平均值：</w:t>
      </w:r>
      <w:r>
        <w:rPr>
          <w:position w:val="-24"/>
          <w:sz w:val="24"/>
        </w:rPr>
        <w:object>
          <v:shape id="_x0000_i1028" o:spt="75" type="#_x0000_t75" style="height:36.45pt;width:123.3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pPr>
        <w:tabs>
          <w:tab w:val="left" w:pos="2489"/>
        </w:tabs>
        <w:spacing w:line="360" w:lineRule="auto"/>
        <w:ind w:left="780" w:firstLine="1920" w:firstLineChars="800"/>
        <w:rPr>
          <w:color w:val="0D0D0D" w:themeColor="text1" w:themeTint="F2"/>
          <w:sz w:val="24"/>
          <w14:textFill>
            <w14:solidFill>
              <w14:schemeClr w14:val="tx1">
                <w14:lumMod w14:val="95000"/>
                <w14:lumOff w14:val="5000"/>
              </w14:schemeClr>
            </w14:solidFill>
          </w14:textFill>
        </w:rPr>
      </w:pPr>
      <w:r>
        <w:rPr>
          <w:sz w:val="24"/>
        </w:rPr>
        <w:tab/>
      </w:r>
    </w:p>
    <w:p>
      <w:pPr>
        <w:widowControl/>
        <w:tabs>
          <w:tab w:val="center" w:pos="4360"/>
          <w:tab w:val="right" w:pos="8300"/>
        </w:tabs>
        <w:spacing w:line="360" w:lineRule="auto"/>
        <w:ind w:firstLine="720" w:firstLineChars="300"/>
        <w:rPr>
          <w:kern w:val="0"/>
          <w:sz w:val="24"/>
        </w:rPr>
      </w:pPr>
      <w:r>
        <w:rPr>
          <w:color w:val="000000" w:themeColor="text1"/>
          <w:kern w:val="0"/>
          <w:sz w:val="24"/>
          <w14:textFill>
            <w14:solidFill>
              <w14:schemeClr w14:val="tx1"/>
            </w14:solidFill>
          </w14:textFill>
        </w:rPr>
        <w:t>单个测量值的实验标准差</w:t>
      </w:r>
      <w:r>
        <w:rPr>
          <w:kern w:val="0"/>
          <w:sz w:val="24"/>
        </w:rPr>
        <w:t>：</w:t>
      </w:r>
      <w:r>
        <w:rPr>
          <w:kern w:val="0"/>
          <w:position w:val="-26"/>
          <w:sz w:val="24"/>
        </w:rPr>
        <w:object>
          <v:shape id="_x0000_i1029" o:spt="75" type="#_x0000_t75" style="height:43.25pt;width:177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w:r>
        <w:rPr>
          <w:color w:val="000000" w:themeColor="text1"/>
          <w:kern w:val="0"/>
          <w:position w:val="-4"/>
          <w:sz w:val="24"/>
          <w14:textFill>
            <w14:solidFill>
              <w14:schemeClr w14:val="tx1"/>
            </w14:solidFill>
          </w14:textFill>
        </w:rPr>
        <w:object>
          <v:shape id="_x0000_i1030" o:spt="75" type="#_x0000_t75" style="height:18pt;width:12.85pt;" o:ole="t" filled="f" o:preferrelative="t" stroked="f" coordsize="21600,21600">
            <v:path/>
            <v:fill on="f" focussize="0,0"/>
            <v:stroke on="f" joinstyle="miter"/>
            <v:imagedata r:id="rId16" o:title=""/>
            <o:lock v:ext="edit" aspectratio="t"/>
            <w10:wrap type="none"/>
            <w10:anchorlock/>
          </v:shape>
          <o:OLEObject Type="Embed" ProgID="Equation.KSEE3" ShapeID="_x0000_i1030" DrawAspect="Content" ObjectID="_1468075730" r:id="rId15">
            <o:LockedField>false</o:LockedField>
          </o:OLEObject>
        </w:object>
      </w:r>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r>
        <w:rPr>
          <w:color w:val="000000" w:themeColor="text1"/>
          <w:kern w:val="0"/>
          <w:sz w:val="24"/>
          <w14:textFill>
            <w14:solidFill>
              <w14:schemeClr w14:val="tx1"/>
            </w14:solidFill>
          </w14:textFill>
        </w:rPr>
        <w:t>（</w:t>
      </w:r>
      <w:r>
        <w:rPr>
          <w:color w:val="000000" w:themeColor="text1"/>
          <w:kern w:val="0"/>
          <w:position w:val="-4"/>
          <w:sz w:val="24"/>
          <w14:textFill>
            <w14:solidFill>
              <w14:schemeClr w14:val="tx1"/>
            </w14:solidFill>
          </w14:textFill>
        </w:rPr>
        <w:object>
          <v:shape id="_x0000_i1031" o:spt="75" type="#_x0000_t75" style="height:18pt;width:12.85pt;" o:ole="t" filled="f" o:preferrelative="t" stroked="f" coordsize="21600,21600">
            <v:path/>
            <v:fill on="f" focussize="0,0"/>
            <v:stroke on="f" joinstyle="miter"/>
            <v:imagedata r:id="rId16" o:title=""/>
            <o:lock v:ext="edit" aspectratio="t"/>
            <w10:wrap type="none"/>
            <w10:anchorlock/>
          </v:shape>
          <o:OLEObject Type="Embed" ProgID="Equation.KSEE3" ShapeID="_x0000_i1031" DrawAspect="Content" ObjectID="_1468075731" r:id="rId17">
            <o:LockedField>false</o:LockedField>
          </o:OLEObject>
        </w:object>
      </w:r>
      <w:r>
        <w:rPr>
          <w:color w:val="000000" w:themeColor="text1"/>
          <w:kern w:val="0"/>
          <w:sz w:val="24"/>
          <w14:textFill>
            <w14:solidFill>
              <w14:schemeClr w14:val="tx1"/>
            </w14:solidFill>
          </w14:textFill>
        </w:rPr>
        <w:t>为1组数据的平均值，取n=1）</w:t>
      </w:r>
    </w:p>
    <w:bookmarkEnd w:id="0"/>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w:r>
        <w:rPr>
          <w:color w:val="0D0D0D" w:themeColor="text1" w:themeTint="F2"/>
          <w:kern w:val="0"/>
          <w:position w:val="-10"/>
          <w:sz w:val="24"/>
          <w14:textFill>
            <w14:solidFill>
              <w14:schemeClr w14:val="tx1">
                <w14:lumMod w14:val="95000"/>
                <w14:lumOff w14:val="5000"/>
              </w14:schemeClr>
            </w14:solidFill>
          </w14:textFill>
        </w:rPr>
        <w:object>
          <v:shape id="_x0000_i1032" o:spt="75" type="#_x0000_t75" style="height:16.3pt;width:12.45pt;" o:ole="t" filled="f" o:preferrelative="t" stroked="f" coordsize="21600,21600">
            <v:path/>
            <v:fill on="f" focussize="0,0"/>
            <v:stroke on="f" joinstyle="miter"/>
            <v:imagedata r:id="rId19" o:title=""/>
            <o:lock v:ext="edit" aspectratio="t"/>
            <w10:wrap type="none"/>
            <w10:anchorlock/>
          </v:shape>
          <o:OLEObject Type="Embed" ProgID="Equation.KSEE3" ShapeID="_x0000_i1032" DrawAspect="Content" ObjectID="_1468075732" r:id="rId18">
            <o:LockedField>false</o:LockedField>
          </o:OLEObject>
        </w:object>
      </w:r>
      <w:r>
        <w:rPr>
          <w:color w:val="0D0D0D" w:themeColor="text1" w:themeTint="F2"/>
          <w:kern w:val="0"/>
          <w:sz w:val="24"/>
          <w14:textFill>
            <w14:solidFill>
              <w14:schemeClr w14:val="tx1">
                <w14:lumMod w14:val="95000"/>
                <w14:lumOff w14:val="5000"/>
              </w14:schemeClr>
            </w14:solidFill>
          </w14:textFill>
        </w:rPr>
        <w:t>=S=</w:t>
      </w:r>
      <w:r>
        <w:rPr>
          <w:rFonts w:hint="eastAsia"/>
          <w:color w:val="0D0D0D" w:themeColor="text1" w:themeTint="F2"/>
          <w:kern w:val="0"/>
          <w:sz w:val="24"/>
          <w:lang w:val="en-US" w:eastAsia="zh-CN"/>
          <w14:textFill>
            <w14:solidFill>
              <w14:schemeClr w14:val="tx1">
                <w14:lumMod w14:val="95000"/>
                <w14:lumOff w14:val="5000"/>
              </w14:schemeClr>
            </w14:solidFill>
          </w14:textFill>
        </w:rPr>
        <w:t>0.022m</w:t>
      </w:r>
      <w:r>
        <w:rPr>
          <w:sz w:val="24"/>
        </w:rPr>
        <w:t xml:space="preserve">m                                 </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33" o:spt="75" type="#_x0000_t75" style="height:17.15pt;width:12.85pt;" o:ole="t" filled="f" o:preferrelative="t" stroked="f" coordsize="21600,21600">
            <v:path/>
            <v:fill on="f" focussize="0,0"/>
            <v:stroke on="f" joinstyle="miter"/>
            <v:imagedata r:id="rId21" o:title=""/>
            <o:lock v:ext="edit" aspectratio="t"/>
            <w10:wrap type="none"/>
            <w10:anchorlock/>
          </v:shape>
          <o:OLEObject Type="Embed" ProgID="Equation.KSEE3" ShapeID="_x0000_i1033" DrawAspect="Content" ObjectID="_1468075733" r:id="rId20">
            <o:LockedField>false</o:LockedField>
          </o:OLEObject>
        </w:object>
      </w:r>
    </w:p>
    <w:p>
      <w:pPr>
        <w:spacing w:line="360" w:lineRule="auto"/>
        <w:ind w:firstLine="480" w:firstLineChars="200"/>
        <w:rPr>
          <w:sz w:val="24"/>
        </w:rPr>
      </w:pPr>
      <w:r>
        <w:rPr>
          <w:rFonts w:hint="eastAsia"/>
          <w:sz w:val="24"/>
          <w:lang w:val="en-US" w:eastAsia="zh-CN"/>
        </w:rPr>
        <w:t>游标卡尺</w:t>
      </w:r>
      <w:r>
        <w:rPr>
          <w:rFonts w:hint="eastAsia"/>
          <w:sz w:val="24"/>
        </w:rPr>
        <w:t>示值</w:t>
      </w:r>
      <w:r>
        <w:rPr>
          <w:sz w:val="24"/>
        </w:rPr>
        <w:t>误差为±</w:t>
      </w:r>
      <w:r>
        <w:rPr>
          <w:rFonts w:hint="eastAsia"/>
          <w:sz w:val="24"/>
          <w:lang w:val="en-US" w:eastAsia="zh-CN"/>
        </w:rPr>
        <w:t>0.02mm</w:t>
      </w:r>
      <w:r>
        <w:rPr>
          <w:sz w:val="24"/>
        </w:rPr>
        <w:t>，服从均匀分布，半宽为</w:t>
      </w:r>
      <w:r>
        <w:rPr>
          <w:rFonts w:hint="eastAsia"/>
          <w:sz w:val="24"/>
          <w:lang w:val="en-US" w:eastAsia="zh-CN"/>
        </w:rPr>
        <w:t>0.02m</w:t>
      </w:r>
      <w:r>
        <w:rPr>
          <w:sz w:val="24"/>
        </w:rPr>
        <w:t>m，取α=</w:t>
      </w:r>
      <m:oMath>
        <m:rad>
          <m:radPr>
            <m:degHide m:val="1"/>
            <m:ctrlPr>
              <w:rPr>
                <w:rFonts w:ascii="Cambria Math" w:hAnsi="Cambria Math"/>
                <w:sz w:val="24"/>
              </w:rPr>
            </m:ctrlPr>
          </m:radPr>
          <m:deg>
            <m:ctrlPr>
              <w:rPr>
                <w:rFonts w:ascii="Cambria Math" w:hAnsi="Cambria Math"/>
                <w:sz w:val="24"/>
              </w:rPr>
            </m:ctrlPr>
          </m:deg>
          <m:e>
            <m:r>
              <w:rPr>
                <w:rFonts w:ascii="Cambria Math" w:hAnsi="Cambria Math"/>
                <w:sz w:val="24"/>
              </w:rPr>
              <m:t>3</m:t>
            </m:r>
            <m:ctrlPr>
              <w:rPr>
                <w:rFonts w:ascii="Cambria Math" w:hAnsi="Cambria Math"/>
                <w:sz w:val="24"/>
              </w:rPr>
            </m:ctrlPr>
          </m:e>
        </m:rad>
      </m:oMath>
      <w:r>
        <w:rPr>
          <w:sz w:val="24"/>
        </w:rPr>
        <w:t>，则由设备示值误差引入的不确定分量为：</w:t>
      </w:r>
    </w:p>
    <w:p>
      <w:pPr>
        <w:spacing w:line="360" w:lineRule="auto"/>
        <w:ind w:left="-142" w:firstLine="2980" w:firstLineChars="1242"/>
        <w:rPr>
          <w:i/>
          <w:position w:val="-24"/>
          <w:sz w:val="24"/>
        </w:rPr>
      </w:pPr>
      <w:r>
        <w:rPr>
          <w:i/>
          <w:position w:val="-28"/>
          <w:sz w:val="24"/>
        </w:rPr>
        <w:object>
          <v:shape id="_x0000_i1034" o:spt="75" type="#_x0000_t75" style="height:33pt;width:128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rFonts w:hint="eastAsia"/>
                <w:sz w:val="24"/>
                <w:lang w:val="en-US" w:eastAsia="zh-CN"/>
              </w:rPr>
              <w:t>0.022m</w:t>
            </w:r>
            <w:r>
              <w:rPr>
                <w:sz w:val="24"/>
              </w:rPr>
              <w:t xml:space="preserv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rFonts w:hint="eastAsia"/>
                <w:sz w:val="24"/>
                <w:lang w:val="en-US" w:eastAsia="zh-CN"/>
              </w:rPr>
              <w:t>0.012m</w:t>
            </w:r>
            <w:r>
              <w:rPr>
                <w:sz w:val="24"/>
              </w:rPr>
              <w:t xml:space="preserve">m </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w:r>
        <w:rPr>
          <w:position w:val="-12"/>
          <w:sz w:val="24"/>
          <w:vertAlign w:val="subscript"/>
        </w:rPr>
        <w:object>
          <v:shape id="_x0000_i1035" o:spt="75" type="#_x0000_t75" style="height:22.75pt;width:231.5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rFonts w:hint="default" w:eastAsia="宋体"/>
          <w:sz w:val="24"/>
          <w:lang w:val="en-US" w:eastAsia="zh-CN"/>
        </w:rPr>
      </w:pPr>
      <w:r>
        <w:rPr>
          <w:sz w:val="24"/>
        </w:rPr>
        <w:t xml:space="preserve"> </w:t>
      </w:r>
      <w:r>
        <w:rPr>
          <w:i/>
          <w:sz w:val="24"/>
        </w:rPr>
        <w:t>U＝</w:t>
      </w:r>
      <w:r>
        <w:rPr>
          <w:sz w:val="24"/>
        </w:rPr>
        <w:t xml:space="preserve"> </w:t>
      </w:r>
      <w:r>
        <w:rPr>
          <w:i/>
          <w:kern w:val="0"/>
          <w:sz w:val="24"/>
        </w:rPr>
        <w:t>k</w:t>
      </w:r>
      <w:r>
        <w:rPr>
          <w:sz w:val="24"/>
        </w:rPr>
        <w:t>u</w:t>
      </w:r>
      <w:r>
        <w:rPr>
          <w:sz w:val="24"/>
          <w:vertAlign w:val="subscript"/>
        </w:rPr>
        <w:t>c</w:t>
      </w:r>
      <w:r>
        <w:rPr>
          <w:sz w:val="24"/>
        </w:rPr>
        <w:t>＝2×</w:t>
      </w:r>
      <w:r>
        <w:rPr>
          <w:rFonts w:hint="eastAsia"/>
          <w:sz w:val="24"/>
          <w:lang w:val="en-US" w:eastAsia="zh-CN"/>
        </w:rPr>
        <w:t>0.025m</w:t>
      </w:r>
      <w:r>
        <w:rPr>
          <w:sz w:val="24"/>
        </w:rPr>
        <w:t>m</w:t>
      </w:r>
      <w:r>
        <w:rPr>
          <w:rFonts w:hint="eastAsia"/>
          <w:sz w:val="24"/>
          <w:lang w:val="en-US" w:eastAsia="zh-CN"/>
        </w:rPr>
        <w:t>=0.05mm</w:t>
      </w:r>
    </w:p>
    <w:p>
      <w:pPr>
        <w:spacing w:line="360" w:lineRule="auto"/>
        <w:rPr>
          <w:sz w:val="24"/>
        </w:rPr>
      </w:pPr>
      <w:r>
        <w:rPr>
          <w:b/>
          <w:bCs/>
          <w:sz w:val="24"/>
        </w:rPr>
        <w:t xml:space="preserve">6、测量不确定度的报告与表示   </w:t>
      </w:r>
      <w:r>
        <w:rPr>
          <w:sz w:val="24"/>
        </w:rPr>
        <w:t xml:space="preserve">  </w:t>
      </w:r>
    </w:p>
    <w:p>
      <w:pPr>
        <w:spacing w:line="360" w:lineRule="auto"/>
        <w:ind w:firstLine="1680" w:firstLineChars="700"/>
        <w:rPr>
          <w:kern w:val="0"/>
          <w:sz w:val="24"/>
        </w:rPr>
      </w:pPr>
      <w:r>
        <w:rPr>
          <w:i/>
          <w:sz w:val="24"/>
        </w:rPr>
        <w:t>U＝</w:t>
      </w:r>
      <w:r>
        <w:rPr>
          <w:rFonts w:hint="eastAsia"/>
          <w:i w:val="0"/>
          <w:iCs/>
          <w:sz w:val="24"/>
          <w:lang w:val="en-US" w:eastAsia="zh-CN"/>
        </w:rPr>
        <w:t>0.05mm</w:t>
      </w:r>
      <w:r>
        <w:rPr>
          <w:sz w:val="24"/>
        </w:rPr>
        <w:t xml:space="preserve">  </w:t>
      </w:r>
      <w:r>
        <w:rPr>
          <w:i/>
          <w:kern w:val="0"/>
          <w:sz w:val="24"/>
        </w:rPr>
        <w:t>k</w:t>
      </w:r>
      <w:r>
        <w:rPr>
          <w:i/>
          <w:iCs/>
          <w:kern w:val="0"/>
          <w:sz w:val="24"/>
        </w:rPr>
        <w:t xml:space="preserve"> </w:t>
      </w:r>
      <w:r>
        <w:rPr>
          <w:kern w:val="0"/>
          <w:sz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D5B0F"/>
    <w:rsid w:val="00194D5A"/>
    <w:rsid w:val="001B03E0"/>
    <w:rsid w:val="00227CDF"/>
    <w:rsid w:val="002B0F65"/>
    <w:rsid w:val="003869A8"/>
    <w:rsid w:val="0047357A"/>
    <w:rsid w:val="00477F42"/>
    <w:rsid w:val="00486E22"/>
    <w:rsid w:val="0055550A"/>
    <w:rsid w:val="005A154F"/>
    <w:rsid w:val="005A7359"/>
    <w:rsid w:val="006E25D7"/>
    <w:rsid w:val="007A54BF"/>
    <w:rsid w:val="00A27A88"/>
    <w:rsid w:val="00B72BDD"/>
    <w:rsid w:val="00BB5BA9"/>
    <w:rsid w:val="00D24F36"/>
    <w:rsid w:val="00D60E80"/>
    <w:rsid w:val="00E264E2"/>
    <w:rsid w:val="00EC6217"/>
    <w:rsid w:val="00F50C2B"/>
    <w:rsid w:val="00F55B64"/>
    <w:rsid w:val="00F71631"/>
    <w:rsid w:val="029D4DA9"/>
    <w:rsid w:val="04444815"/>
    <w:rsid w:val="059C21AC"/>
    <w:rsid w:val="062619D7"/>
    <w:rsid w:val="063C65F3"/>
    <w:rsid w:val="06C201D1"/>
    <w:rsid w:val="0A9A5E74"/>
    <w:rsid w:val="0B571171"/>
    <w:rsid w:val="0E1326AB"/>
    <w:rsid w:val="0E2137A4"/>
    <w:rsid w:val="0EBC1312"/>
    <w:rsid w:val="10C76CC6"/>
    <w:rsid w:val="11DD0A90"/>
    <w:rsid w:val="150669D4"/>
    <w:rsid w:val="1581369B"/>
    <w:rsid w:val="175072CC"/>
    <w:rsid w:val="18175742"/>
    <w:rsid w:val="183E7280"/>
    <w:rsid w:val="19905B34"/>
    <w:rsid w:val="1B8F690F"/>
    <w:rsid w:val="24CB6DA3"/>
    <w:rsid w:val="25263E94"/>
    <w:rsid w:val="27725E1D"/>
    <w:rsid w:val="292A5016"/>
    <w:rsid w:val="295E52F6"/>
    <w:rsid w:val="2AE95DBC"/>
    <w:rsid w:val="2F71161C"/>
    <w:rsid w:val="32FD5AF2"/>
    <w:rsid w:val="35D21864"/>
    <w:rsid w:val="36184782"/>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1D71733"/>
    <w:rsid w:val="52163E48"/>
    <w:rsid w:val="526747A8"/>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304360C"/>
    <w:rsid w:val="63BD10F1"/>
    <w:rsid w:val="681B0E89"/>
    <w:rsid w:val="6A764632"/>
    <w:rsid w:val="6C5A5A6D"/>
    <w:rsid w:val="6D1A7968"/>
    <w:rsid w:val="6E9F7006"/>
    <w:rsid w:val="7376125A"/>
    <w:rsid w:val="75513159"/>
    <w:rsid w:val="789B1DCD"/>
    <w:rsid w:val="78EB596B"/>
    <w:rsid w:val="7A0963C2"/>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1140</Characters>
  <Lines>9</Lines>
  <Paragraphs>2</Paragraphs>
  <TotalTime>1</TotalTime>
  <ScaleCrop>false</ScaleCrop>
  <LinksUpToDate>false</LinksUpToDate>
  <CharactersWithSpaces>1337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金银铜铁</cp:lastModifiedBy>
  <dcterms:modified xsi:type="dcterms:W3CDTF">2020-11-24T01:34:46Z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