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北京雅伦达机械设备有限公司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签定合同-采购原材料-</w:t>
            </w:r>
            <w:r>
              <w:rPr>
                <w:rFonts w:hint="eastAsia" w:ascii="宋体" w:hAnsi="宋体"/>
                <w:color w:val="auto"/>
                <w:szCs w:val="21"/>
              </w:rPr>
              <w:t>金属结构加工制造</w:t>
            </w:r>
            <w:r>
              <w:rPr>
                <w:rFonts w:hint="eastAsia" w:ascii="宋体" w:hAnsi="宋体"/>
                <w:color w:val="auto"/>
              </w:rPr>
              <w:t>（车、铣、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钻、</w:t>
            </w:r>
            <w:r>
              <w:rPr>
                <w:rFonts w:hint="eastAsia" w:ascii="宋体" w:hAnsi="宋体"/>
                <w:color w:val="auto"/>
              </w:rPr>
              <w:t>加工中心）-检验-入库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特殊过程：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数控车加工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</w:t>
            </w:r>
            <w:r>
              <w:rPr>
                <w:rFonts w:hint="eastAsia" w:ascii="宋体" w:hAnsi="宋体"/>
                <w:szCs w:val="21"/>
              </w:rPr>
              <w:t>金属加工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 xml:space="preserve">控制参数：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 xml:space="preserve">机加工：尺寸控制、刀具、走刀量。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产品特性：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尺寸形状、表面质量、机械性能、金相组织（必要时）。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注尺寸公差GB/T 1804-2000、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25376-2010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金属切削机床 机械加工件通用技术条件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机械加工工艺装备基本术语GB/T 1008-2008、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机械加工定位、夹紧符号JB/T 5061-2006、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械加工工艺守则JB/T 9168-2006、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产品几何技术规范（GPS) 表面结构 轮廓法 表面粗糙度参数及其数值GB/T 1031-2009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金属切削机床 机械加工件通用技术条件   JB/T 9872-1999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JB/T 12392-2015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机械加工工艺参数表示法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12393-2015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机械加工工艺方法图形符号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12394-2015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机械加工工艺信息三维标注规范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5061-2006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机械加工定位、夹紧符号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5936-2018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工程机械 机械加工件通用技术条件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5" w:name="_GoBack"/>
            <w:bookmarkEnd w:id="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2020.11.26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2020.11.26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7435F9"/>
    <w:rsid w:val="0FA81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2020-11-26T15:19:50Z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