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ptab w:relativeTo="margin" w:alignment="center" w:leader="none"/>
      </w:r>
    </w:p>
    <w:p>
      <w:pPr>
        <w:pStyle w:val="7"/>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pPr>
        <w:pStyle w:val="7"/>
      </w:pPr>
    </w:p>
    <w:p>
      <w:pPr>
        <w:pStyle w:val="7"/>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b w:val="0"/>
                <w:bCs w:val="0"/>
                <w:sz w:val="24"/>
                <w:szCs w:val="24"/>
              </w:rPr>
            </w:pPr>
            <w:r>
              <w:rPr>
                <w:rFonts w:hint="eastAsia"/>
                <w:b w:val="0"/>
                <w:bCs w:val="0"/>
                <w:sz w:val="24"/>
                <w:szCs w:val="24"/>
              </w:rPr>
              <w:t>过程与活动、</w:t>
            </w:r>
          </w:p>
          <w:p>
            <w:pPr>
              <w:jc w:val="center"/>
              <w:rPr>
                <w:b w:val="0"/>
                <w:bCs w:val="0"/>
              </w:rPr>
            </w:pPr>
            <w:r>
              <w:rPr>
                <w:rFonts w:hint="eastAsia"/>
                <w:b w:val="0"/>
                <w:bCs w:val="0"/>
                <w:sz w:val="24"/>
                <w:szCs w:val="24"/>
              </w:rPr>
              <w:t>抽样计划</w:t>
            </w:r>
          </w:p>
        </w:tc>
        <w:tc>
          <w:tcPr>
            <w:tcW w:w="960" w:type="dxa"/>
            <w:vMerge w:val="restart"/>
            <w:vAlign w:val="center"/>
          </w:tcPr>
          <w:p>
            <w:pPr>
              <w:rPr>
                <w:b w:val="0"/>
                <w:bCs w:val="0"/>
                <w:sz w:val="24"/>
                <w:szCs w:val="24"/>
              </w:rPr>
            </w:pPr>
            <w:r>
              <w:rPr>
                <w:rFonts w:hint="eastAsia"/>
                <w:b w:val="0"/>
                <w:bCs w:val="0"/>
                <w:sz w:val="24"/>
                <w:szCs w:val="24"/>
              </w:rPr>
              <w:t>涉及</w:t>
            </w:r>
          </w:p>
          <w:p>
            <w:pPr>
              <w:rPr>
                <w:b w:val="0"/>
                <w:bCs w:val="0"/>
              </w:rPr>
            </w:pPr>
            <w:r>
              <w:rPr>
                <w:rFonts w:hint="eastAsia"/>
                <w:b w:val="0"/>
                <w:bCs w:val="0"/>
                <w:sz w:val="24"/>
                <w:szCs w:val="24"/>
              </w:rPr>
              <w:t>条款</w:t>
            </w:r>
          </w:p>
        </w:tc>
        <w:tc>
          <w:tcPr>
            <w:tcW w:w="10004" w:type="dxa"/>
            <w:vAlign w:val="center"/>
          </w:tcPr>
          <w:p>
            <w:pPr>
              <w:rPr>
                <w:rFonts w:hint="default" w:eastAsia="宋体"/>
                <w:b w:val="0"/>
                <w:bCs w:val="0"/>
                <w:sz w:val="24"/>
                <w:szCs w:val="24"/>
                <w:lang w:val="en-US" w:eastAsia="zh-CN"/>
              </w:rPr>
            </w:pPr>
            <w:r>
              <w:rPr>
                <w:rFonts w:hint="eastAsia"/>
                <w:b w:val="0"/>
                <w:bCs w:val="0"/>
                <w:sz w:val="24"/>
                <w:szCs w:val="24"/>
              </w:rPr>
              <w:t>受审核部门：</w:t>
            </w:r>
            <w:r>
              <w:rPr>
                <w:rFonts w:hint="eastAsia"/>
                <w:b w:val="0"/>
                <w:bCs w:val="0"/>
                <w:sz w:val="24"/>
                <w:szCs w:val="24"/>
                <w:lang w:val="en-US" w:eastAsia="zh-CN"/>
              </w:rPr>
              <w:t xml:space="preserve">生产部 </w:t>
            </w:r>
            <w:r>
              <w:rPr>
                <w:rFonts w:hint="eastAsia"/>
                <w:b w:val="0"/>
                <w:bCs w:val="0"/>
                <w:sz w:val="24"/>
                <w:szCs w:val="24"/>
              </w:rPr>
              <w:t>主管领导</w:t>
            </w:r>
            <w:r>
              <w:rPr>
                <w:rFonts w:hint="eastAsia"/>
                <w:b w:val="0"/>
                <w:bCs w:val="0"/>
                <w:sz w:val="24"/>
                <w:szCs w:val="24"/>
                <w:lang w:eastAsia="zh-CN"/>
              </w:rPr>
              <w:t>：</w:t>
            </w:r>
            <w:r>
              <w:rPr>
                <w:rFonts w:hint="eastAsia"/>
              </w:rPr>
              <w:t>刘恩玉</w:t>
            </w:r>
            <w:r>
              <w:rPr>
                <w:rFonts w:hint="eastAsia"/>
                <w:b w:val="0"/>
                <w:bCs w:val="0"/>
                <w:sz w:val="24"/>
                <w:szCs w:val="24"/>
                <w:lang w:val="en-US" w:eastAsia="zh-CN"/>
              </w:rPr>
              <w:t xml:space="preserve">   </w:t>
            </w:r>
            <w:r>
              <w:rPr>
                <w:rFonts w:hint="eastAsia"/>
                <w:b w:val="0"/>
                <w:bCs w:val="0"/>
                <w:sz w:val="24"/>
                <w:szCs w:val="24"/>
              </w:rPr>
              <w:t>陪同人员</w:t>
            </w:r>
            <w:r>
              <w:rPr>
                <w:rFonts w:hint="eastAsia"/>
                <w:b w:val="0"/>
                <w:bCs w:val="0"/>
                <w:sz w:val="24"/>
                <w:szCs w:val="24"/>
                <w:lang w:eastAsia="zh-CN"/>
              </w:rPr>
              <w:t>：</w:t>
            </w:r>
            <w:r>
              <w:rPr>
                <w:rFonts w:hint="eastAsia"/>
              </w:rPr>
              <w:t>张淑芬</w:t>
            </w:r>
          </w:p>
        </w:tc>
        <w:tc>
          <w:tcPr>
            <w:tcW w:w="1585" w:type="dxa"/>
            <w:vMerge w:val="restart"/>
            <w:vAlign w:val="center"/>
          </w:tcPr>
          <w:p>
            <w:pPr>
              <w:rPr>
                <w:b w:val="0"/>
                <w:bCs w:val="0"/>
                <w:sz w:val="24"/>
                <w:szCs w:val="24"/>
              </w:rPr>
            </w:pPr>
            <w:r>
              <w:rPr>
                <w:rFonts w:hint="eastAsia"/>
                <w:b w:val="0"/>
                <w:bCs w:val="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b w:val="0"/>
                <w:bCs w:val="0"/>
              </w:rPr>
            </w:pPr>
          </w:p>
        </w:tc>
        <w:tc>
          <w:tcPr>
            <w:tcW w:w="960" w:type="dxa"/>
            <w:vMerge w:val="continue"/>
            <w:vAlign w:val="center"/>
          </w:tcPr>
          <w:p>
            <w:pPr>
              <w:rPr>
                <w:b w:val="0"/>
                <w:bCs w:val="0"/>
              </w:rPr>
            </w:pPr>
          </w:p>
        </w:tc>
        <w:tc>
          <w:tcPr>
            <w:tcW w:w="10004" w:type="dxa"/>
            <w:vAlign w:val="center"/>
          </w:tcPr>
          <w:p>
            <w:pPr>
              <w:spacing w:before="120"/>
              <w:rPr>
                <w:rFonts w:hint="default" w:eastAsia="宋体"/>
                <w:b w:val="0"/>
                <w:bCs w:val="0"/>
                <w:lang w:val="en-US" w:eastAsia="zh-CN"/>
              </w:rPr>
            </w:pPr>
            <w:r>
              <w:rPr>
                <w:rFonts w:hint="eastAsia"/>
                <w:b w:val="0"/>
                <w:bCs w:val="0"/>
                <w:sz w:val="24"/>
                <w:szCs w:val="24"/>
              </w:rPr>
              <w:t>审核员：</w:t>
            </w:r>
            <w:r>
              <w:rPr>
                <w:rFonts w:hint="eastAsia"/>
                <w:b w:val="0"/>
                <w:bCs w:val="0"/>
                <w:sz w:val="24"/>
                <w:szCs w:val="24"/>
                <w:lang w:eastAsia="zh-CN"/>
              </w:rPr>
              <w:t>李京田</w:t>
            </w:r>
            <w:r>
              <w:rPr>
                <w:rFonts w:hint="eastAsia"/>
                <w:b w:val="0"/>
                <w:bCs w:val="0"/>
                <w:sz w:val="24"/>
                <w:szCs w:val="24"/>
                <w:lang w:val="en-US" w:eastAsia="zh-CN"/>
              </w:rPr>
              <w:t xml:space="preserve">    </w:t>
            </w:r>
            <w:r>
              <w:rPr>
                <w:rFonts w:hint="eastAsia"/>
                <w:b w:val="0"/>
                <w:bCs w:val="0"/>
                <w:sz w:val="24"/>
                <w:szCs w:val="24"/>
              </w:rPr>
              <w:t>审核时间：</w:t>
            </w:r>
            <w:r>
              <w:rPr>
                <w:rFonts w:hint="eastAsia"/>
                <w:b w:val="0"/>
                <w:bCs w:val="0"/>
                <w:sz w:val="24"/>
                <w:szCs w:val="24"/>
                <w:lang w:val="en-US" w:eastAsia="zh-CN"/>
              </w:rPr>
              <w:t>2020.11.15-16</w:t>
            </w:r>
          </w:p>
        </w:tc>
        <w:tc>
          <w:tcPr>
            <w:tcW w:w="1585" w:type="dxa"/>
            <w:vMerge w:val="continue"/>
          </w:tcPr>
          <w:p>
            <w:pPr>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b w:val="0"/>
                <w:bCs w:val="0"/>
              </w:rPr>
            </w:pPr>
          </w:p>
        </w:tc>
        <w:tc>
          <w:tcPr>
            <w:tcW w:w="960" w:type="dxa"/>
            <w:vMerge w:val="continue"/>
            <w:vAlign w:val="center"/>
          </w:tcPr>
          <w:p>
            <w:pPr>
              <w:rPr>
                <w:b w:val="0"/>
                <w:bCs w:val="0"/>
              </w:rPr>
            </w:pPr>
          </w:p>
        </w:tc>
        <w:tc>
          <w:tcPr>
            <w:tcW w:w="10004" w:type="dxa"/>
            <w:vAlign w:val="center"/>
          </w:tcPr>
          <w:p>
            <w:pPr>
              <w:rPr>
                <w:rFonts w:ascii="宋体" w:hAnsi="宋体"/>
                <w:b w:val="0"/>
                <w:bCs w:val="0"/>
                <w:sz w:val="18"/>
              </w:rPr>
            </w:pPr>
            <w:r>
              <w:rPr>
                <w:rFonts w:hint="eastAsia"/>
                <w:b w:val="0"/>
                <w:bCs w:val="0"/>
                <w:sz w:val="24"/>
                <w:szCs w:val="24"/>
              </w:rPr>
              <w:t>审核条款：</w:t>
            </w:r>
            <w:r>
              <w:rPr>
                <w:rFonts w:hint="eastAsia" w:ascii="宋体" w:hAnsi="宋体"/>
                <w:b w:val="0"/>
                <w:bCs w:val="0"/>
                <w:sz w:val="18"/>
              </w:rPr>
              <w:t>E</w:t>
            </w:r>
            <w:r>
              <w:rPr>
                <w:rFonts w:hint="eastAsia" w:ascii="宋体" w:hAnsi="宋体"/>
                <w:b w:val="0"/>
                <w:bCs w:val="0"/>
                <w:sz w:val="18"/>
                <w:lang w:val="en-US" w:eastAsia="zh-CN"/>
              </w:rPr>
              <w:t>O</w:t>
            </w:r>
            <w:r>
              <w:rPr>
                <w:rFonts w:ascii="宋体" w:hAnsi="宋体"/>
                <w:b w:val="0"/>
                <w:bCs w:val="0"/>
                <w:sz w:val="18"/>
              </w:rPr>
              <w:t>:5.3/6.</w:t>
            </w:r>
            <w:r>
              <w:rPr>
                <w:rFonts w:hint="eastAsia" w:ascii="宋体" w:hAnsi="宋体"/>
                <w:b w:val="0"/>
                <w:bCs w:val="0"/>
                <w:sz w:val="18"/>
                <w:lang w:val="en-US" w:eastAsia="zh-CN"/>
              </w:rPr>
              <w:t>1</w:t>
            </w:r>
            <w:r>
              <w:rPr>
                <w:rFonts w:ascii="宋体" w:hAnsi="宋体"/>
                <w:b w:val="0"/>
                <w:bCs w:val="0"/>
                <w:sz w:val="18"/>
              </w:rPr>
              <w:t>/6.</w:t>
            </w:r>
            <w:r>
              <w:rPr>
                <w:rFonts w:hint="eastAsia" w:ascii="宋体" w:hAnsi="宋体"/>
                <w:b w:val="0"/>
                <w:bCs w:val="0"/>
                <w:sz w:val="18"/>
                <w:lang w:val="en-US" w:eastAsia="zh-CN"/>
              </w:rPr>
              <w:t>2</w:t>
            </w:r>
            <w:r>
              <w:rPr>
                <w:rFonts w:ascii="宋体" w:hAnsi="宋体"/>
                <w:b w:val="0"/>
                <w:bCs w:val="0"/>
                <w:sz w:val="18"/>
              </w:rPr>
              <w:t>/8.1/8.2</w:t>
            </w:r>
          </w:p>
          <w:p>
            <w:pPr>
              <w:rPr>
                <w:b w:val="0"/>
                <w:bCs w:val="0"/>
                <w:sz w:val="24"/>
                <w:szCs w:val="24"/>
              </w:rPr>
            </w:pPr>
          </w:p>
        </w:tc>
        <w:tc>
          <w:tcPr>
            <w:tcW w:w="1585" w:type="dxa"/>
            <w:vMerge w:val="continue"/>
          </w:tcPr>
          <w:p>
            <w:pPr>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b w:val="0"/>
                <w:bCs w:val="0"/>
              </w:rPr>
            </w:pPr>
            <w:r>
              <w:rPr>
                <w:rFonts w:hint="eastAsia" w:ascii="Times New Roman" w:hAnsi="Times New Roman" w:eastAsia="宋体" w:cs="Lucida Sans"/>
                <w:b w:val="0"/>
                <w:bCs w:val="0"/>
                <w:szCs w:val="20"/>
              </w:rPr>
              <w:t>职责和权限</w:t>
            </w:r>
          </w:p>
        </w:tc>
        <w:tc>
          <w:tcPr>
            <w:tcW w:w="960" w:type="dxa"/>
            <w:vAlign w:val="center"/>
          </w:tcPr>
          <w:p>
            <w:pPr>
              <w:spacing w:line="360" w:lineRule="exact"/>
              <w:rPr>
                <w:b w:val="0"/>
                <w:bCs w:val="0"/>
                <w:szCs w:val="21"/>
              </w:rPr>
            </w:pPr>
            <w:r>
              <w:rPr>
                <w:rFonts w:hint="eastAsia"/>
                <w:b w:val="0"/>
                <w:bCs w:val="0"/>
                <w:szCs w:val="21"/>
              </w:rPr>
              <w:t>E</w:t>
            </w:r>
            <w:r>
              <w:rPr>
                <w:rFonts w:hint="eastAsia"/>
                <w:b w:val="0"/>
                <w:bCs w:val="0"/>
                <w:szCs w:val="21"/>
                <w:lang w:val="en-US" w:eastAsia="zh-CN"/>
              </w:rPr>
              <w:t>O</w:t>
            </w:r>
            <w:r>
              <w:rPr>
                <w:rFonts w:hint="eastAsia"/>
                <w:b w:val="0"/>
                <w:bCs w:val="0"/>
                <w:szCs w:val="21"/>
              </w:rPr>
              <w:t>5.3</w:t>
            </w:r>
          </w:p>
          <w:p>
            <w:pPr>
              <w:rPr>
                <w:b w:val="0"/>
                <w:bCs w:val="0"/>
              </w:rPr>
            </w:pPr>
          </w:p>
        </w:tc>
        <w:tc>
          <w:tcPr>
            <w:tcW w:w="10004" w:type="dxa"/>
          </w:tcPr>
          <w:p>
            <w:r>
              <w:rPr>
                <w:rFonts w:hint="eastAsia"/>
              </w:rPr>
              <w:t>该部门主要负责</w:t>
            </w:r>
            <w:r>
              <w:rPr>
                <w:rFonts w:hint="eastAsia" w:ascii="宋体" w:hAnsi="宋体"/>
                <w:szCs w:val="21"/>
              </w:rPr>
              <w:t>钢结构加工(法规强制要求范围除外)</w:t>
            </w:r>
            <w:r>
              <w:rPr>
                <w:rFonts w:hint="eastAsia"/>
              </w:rPr>
              <w:t>及相关环境</w:t>
            </w:r>
            <w:r>
              <w:rPr>
                <w:rFonts w:hint="eastAsia"/>
                <w:lang w:eastAsia="zh-CN"/>
              </w:rPr>
              <w:t>、</w:t>
            </w:r>
            <w:r>
              <w:rPr>
                <w:rFonts w:hint="eastAsia"/>
                <w:lang w:val="en-US" w:eastAsia="zh-CN"/>
              </w:rPr>
              <w:t>职业健康安全</w:t>
            </w:r>
            <w:r>
              <w:rPr>
                <w:rFonts w:hint="eastAsia"/>
              </w:rPr>
              <w:t>管理活动及相关过程 ，部门职责为：</w:t>
            </w:r>
          </w:p>
          <w:p>
            <w:pPr>
              <w:spacing w:line="360" w:lineRule="exact"/>
              <w:ind w:firstLine="420" w:firstLineChars="200"/>
            </w:pPr>
            <w:r>
              <w:rPr>
                <w:rFonts w:hint="eastAsia"/>
              </w:rPr>
              <w:t>按照车间的工作安排，组织本班员工完成生产任务。</w:t>
            </w:r>
          </w:p>
          <w:p>
            <w:pPr>
              <w:spacing w:line="360" w:lineRule="exact"/>
              <w:ind w:firstLine="420" w:firstLineChars="200"/>
            </w:pPr>
            <w:r>
              <w:rPr>
                <w:rFonts w:hint="eastAsia"/>
              </w:rPr>
              <w:t>负责检查本班（组）员工的生产情况，对违反劳动纪律，工艺纪律及其它规章制度的行为进行纠正，发现设备、质量、安全等方面的问题在力所能及的范围内进行解决，较大问题及时上报。</w:t>
            </w:r>
          </w:p>
          <w:p>
            <w:pPr>
              <w:spacing w:line="360" w:lineRule="exact"/>
              <w:ind w:firstLine="420" w:firstLineChars="200"/>
            </w:pPr>
            <w:r>
              <w:rPr>
                <w:rFonts w:hint="eastAsia"/>
              </w:rPr>
              <w:t>负责对本班（组）员工进行操作技能和安全培训。</w:t>
            </w:r>
          </w:p>
          <w:p>
            <w:pPr>
              <w:spacing w:line="360" w:lineRule="exact"/>
              <w:ind w:firstLine="420" w:firstLineChars="200"/>
            </w:pPr>
            <w:r>
              <w:rPr>
                <w:rFonts w:hint="eastAsia"/>
              </w:rPr>
              <w:t>督促员工做好设备的一级保养，处理设备的简单故障，及时向上级报告设备问题。</w:t>
            </w:r>
          </w:p>
          <w:p>
            <w:pPr>
              <w:spacing w:line="360" w:lineRule="exact"/>
              <w:ind w:firstLine="420" w:firstLineChars="200"/>
            </w:pPr>
            <w:r>
              <w:rPr>
                <w:rFonts w:hint="eastAsia"/>
              </w:rPr>
              <w:t>抓好安全文明生产，实施“5S”管理。</w:t>
            </w:r>
          </w:p>
          <w:p>
            <w:pPr>
              <w:ind w:firstLine="420" w:firstLineChars="200"/>
              <w:jc w:val="both"/>
              <w:rPr>
                <w:rFonts w:hint="eastAsia"/>
                <w:lang w:eastAsia="zh-CN"/>
              </w:rPr>
            </w:pPr>
            <w:r>
              <w:rPr>
                <w:rFonts w:hint="eastAsia"/>
                <w:lang w:eastAsia="zh-CN"/>
              </w:rPr>
              <w:t>负责控制生产过程的环境及危险源的监测工作；</w:t>
            </w:r>
          </w:p>
          <w:p>
            <w:pPr>
              <w:pStyle w:val="2"/>
              <w:ind w:firstLine="460" w:firstLineChars="200"/>
              <w:rPr>
                <w:rFonts w:hint="eastAsia"/>
                <w:lang w:eastAsia="zh-CN"/>
              </w:rPr>
            </w:pPr>
            <w:r>
              <w:rPr>
                <w:rFonts w:hint="eastAsia"/>
                <w:lang w:eastAsia="zh-CN"/>
              </w:rPr>
              <w:t>负责生产设备的保养及维护工作</w:t>
            </w:r>
          </w:p>
          <w:p>
            <w:pPr>
              <w:ind w:firstLine="420" w:firstLineChars="200"/>
              <w:jc w:val="both"/>
              <w:rPr>
                <w:rFonts w:hint="eastAsia"/>
                <w:lang w:eastAsia="zh-CN"/>
              </w:rPr>
            </w:pPr>
            <w:r>
              <w:rPr>
                <w:rFonts w:hint="eastAsia"/>
                <w:lang w:eastAsia="zh-CN"/>
              </w:rPr>
              <w:t>负责本部门的环境因素及危险源的辨识；</w:t>
            </w:r>
          </w:p>
          <w:p>
            <w:pPr>
              <w:ind w:firstLine="420" w:firstLineChars="200"/>
              <w:jc w:val="both"/>
              <w:rPr>
                <w:rFonts w:hint="eastAsia"/>
                <w:lang w:eastAsia="zh-CN"/>
              </w:rPr>
            </w:pPr>
            <w:r>
              <w:rPr>
                <w:rFonts w:hint="eastAsia"/>
                <w:lang w:eastAsia="zh-CN"/>
              </w:rPr>
              <w:t>负责本部门的环境及职业安全的运行工作</w:t>
            </w:r>
          </w:p>
          <w:p>
            <w:pPr>
              <w:ind w:firstLine="420" w:firstLineChars="200"/>
              <w:jc w:val="both"/>
              <w:rPr>
                <w:rFonts w:hint="eastAsia"/>
                <w:lang w:eastAsia="zh-CN"/>
              </w:rPr>
            </w:pPr>
            <w:r>
              <w:rPr>
                <w:rFonts w:hint="eastAsia"/>
                <w:lang w:eastAsia="zh-CN"/>
              </w:rPr>
              <w:t>负责辨识本部门的法律、法规及其他要求的获取及识别其适用性，</w:t>
            </w:r>
          </w:p>
          <w:p>
            <w:pPr>
              <w:pStyle w:val="2"/>
            </w:pPr>
            <w:r>
              <w:rPr>
                <w:rFonts w:hint="eastAsia"/>
                <w:lang w:eastAsia="zh-CN"/>
              </w:rPr>
              <w:t>负责本部门相关方的识别及管理工作</w:t>
            </w:r>
          </w:p>
          <w:p>
            <w:pPr>
              <w:ind w:firstLine="420" w:firstLineChars="200"/>
              <w:rPr>
                <w:rFonts w:hint="eastAsia"/>
              </w:rPr>
            </w:pPr>
            <w:r>
              <w:rPr>
                <w:rFonts w:hint="eastAsia"/>
                <w:lang w:val="en-US" w:eastAsia="zh-CN"/>
              </w:rPr>
              <w:t>现场询问部门负责人</w:t>
            </w:r>
            <w:r>
              <w:rPr>
                <w:rFonts w:hint="eastAsia"/>
              </w:rPr>
              <w:t>明来光</w:t>
            </w:r>
            <w:r>
              <w:rPr>
                <w:rFonts w:hint="eastAsia"/>
                <w:lang w:eastAsia="zh-CN"/>
              </w:rPr>
              <w:t>，</w:t>
            </w:r>
            <w:r>
              <w:rPr>
                <w:rFonts w:hint="eastAsia"/>
              </w:rPr>
              <w:t>能够了解并履行自己职责，沟通顺畅。</w:t>
            </w:r>
          </w:p>
          <w:p>
            <w:pPr>
              <w:pStyle w:val="2"/>
              <w:rPr>
                <w:rFonts w:hint="default"/>
                <w:b w:val="0"/>
                <w:bCs w:val="0"/>
                <w:lang w:val="en-US" w:eastAsia="zh-CN"/>
              </w:rPr>
            </w:pPr>
          </w:p>
        </w:tc>
        <w:tc>
          <w:tcPr>
            <w:tcW w:w="1585" w:type="dxa"/>
          </w:tcPr>
          <w:p>
            <w:pPr>
              <w:rPr>
                <w:rFonts w:hint="default" w:eastAsia="宋体"/>
                <w:b w:val="0"/>
                <w:bCs w:val="0"/>
                <w:lang w:val="en-US" w:eastAsia="zh-CN"/>
              </w:rPr>
            </w:pPr>
            <w:r>
              <w:rPr>
                <w:rFonts w:hint="eastAsia"/>
                <w:b w:val="0"/>
                <w:bCs w:val="0"/>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rPr>
                <w:b w:val="0"/>
                <w:bCs w:val="0"/>
              </w:rPr>
            </w:pPr>
            <w:r>
              <w:rPr>
                <w:rFonts w:hint="eastAsia" w:ascii="Times New Roman" w:hAnsi="Times New Roman" w:eastAsia="宋体" w:cs="Lucida Sans"/>
                <w:b w:val="0"/>
                <w:bCs w:val="0"/>
                <w:szCs w:val="20"/>
              </w:rPr>
              <w:t>目标分解及考核，目标指标及管理方案</w:t>
            </w:r>
          </w:p>
        </w:tc>
        <w:tc>
          <w:tcPr>
            <w:tcW w:w="960" w:type="dxa"/>
            <w:vAlign w:val="center"/>
          </w:tcPr>
          <w:p>
            <w:pPr>
              <w:rPr>
                <w:rFonts w:ascii="Times New Roman" w:hAnsi="Times New Roman" w:eastAsia="宋体" w:cs="Lucida Sans"/>
                <w:b w:val="0"/>
                <w:bCs w:val="0"/>
                <w:szCs w:val="20"/>
              </w:rPr>
            </w:pPr>
          </w:p>
          <w:p>
            <w:pPr>
              <w:rPr>
                <w:rFonts w:ascii="Times New Roman" w:hAnsi="Times New Roman" w:eastAsia="宋体" w:cs="Lucida Sans"/>
                <w:b w:val="0"/>
                <w:bCs w:val="0"/>
                <w:szCs w:val="20"/>
              </w:rPr>
            </w:pPr>
            <w:r>
              <w:rPr>
                <w:rFonts w:ascii="Times New Roman" w:hAnsi="Times New Roman" w:eastAsia="宋体" w:cs="Lucida Sans"/>
                <w:b w:val="0"/>
                <w:bCs w:val="0"/>
                <w:szCs w:val="20"/>
              </w:rPr>
              <w:t>E</w:t>
            </w:r>
            <w:r>
              <w:rPr>
                <w:rFonts w:hint="eastAsia" w:cs="Lucida Sans"/>
                <w:b w:val="0"/>
                <w:bCs w:val="0"/>
                <w:szCs w:val="20"/>
                <w:lang w:val="en-US" w:eastAsia="zh-CN"/>
              </w:rPr>
              <w:t>O</w:t>
            </w:r>
            <w:r>
              <w:rPr>
                <w:rFonts w:ascii="Times New Roman" w:hAnsi="Times New Roman" w:eastAsia="宋体" w:cs="Lucida Sans"/>
                <w:b w:val="0"/>
                <w:bCs w:val="0"/>
                <w:szCs w:val="20"/>
              </w:rPr>
              <w:t>6.2</w:t>
            </w:r>
          </w:p>
          <w:p>
            <w:pPr>
              <w:rPr>
                <w:b w:val="0"/>
                <w:bCs w:val="0"/>
              </w:rPr>
            </w:pPr>
          </w:p>
        </w:tc>
        <w:tc>
          <w:tcPr>
            <w:tcW w:w="10004" w:type="dxa"/>
          </w:tcPr>
          <w:p>
            <w:pPr>
              <w:rPr>
                <w:rFonts w:ascii="Times New Roman" w:hAnsi="Times New Roman" w:eastAsia="宋体" w:cs="Lucida Sans"/>
                <w:b w:val="0"/>
                <w:bCs w:val="0"/>
                <w:szCs w:val="20"/>
              </w:rPr>
            </w:pPr>
            <w:r>
              <w:rPr>
                <w:rFonts w:hint="eastAsia" w:ascii="Times New Roman" w:hAnsi="Times New Roman" w:eastAsia="宋体" w:cs="Lucida Sans"/>
                <w:b w:val="0"/>
                <w:bCs w:val="0"/>
                <w:szCs w:val="20"/>
              </w:rPr>
              <w:t>部门分解的质量目标：</w:t>
            </w:r>
            <w:r>
              <w:rPr>
                <w:rFonts w:hint="eastAsia" w:ascii="Times New Roman" w:hAnsi="Times New Roman" w:eastAsia="宋体" w:cs="Lucida Sans"/>
                <w:b w:val="0"/>
                <w:bCs w:val="0"/>
                <w:color w:val="FF0000"/>
                <w:szCs w:val="20"/>
              </w:rPr>
              <w:t xml:space="preserve"> </w:t>
            </w:r>
            <w:r>
              <w:rPr>
                <w:rFonts w:hint="eastAsia" w:cs="Lucida Sans"/>
                <w:b w:val="0"/>
                <w:bCs w:val="0"/>
                <w:color w:val="FF0000"/>
                <w:szCs w:val="20"/>
                <w:lang w:val="en-US" w:eastAsia="zh-CN"/>
              </w:rPr>
              <w:t xml:space="preserve">     </w:t>
            </w:r>
          </w:p>
          <w:p>
            <w:pPr>
              <w:rPr>
                <w:rFonts w:hint="eastAsia"/>
                <w:color w:val="auto"/>
              </w:rPr>
            </w:pPr>
            <w:bookmarkStart w:id="0" w:name="_GoBack"/>
            <w:r>
              <w:rPr>
                <w:rFonts w:hint="eastAsia"/>
                <w:color w:val="auto"/>
              </w:rPr>
              <w:t>固体废物100%分类处理；</w:t>
            </w:r>
          </w:p>
          <w:p>
            <w:pPr>
              <w:rPr>
                <w:rFonts w:hint="eastAsia"/>
                <w:color w:val="auto"/>
              </w:rPr>
            </w:pPr>
            <w:r>
              <w:rPr>
                <w:rFonts w:hint="eastAsia"/>
                <w:color w:val="auto"/>
              </w:rPr>
              <w:t>火灾事故0</w:t>
            </w:r>
          </w:p>
          <w:p>
            <w:pPr>
              <w:rPr>
                <w:rFonts w:hint="eastAsia"/>
                <w:color w:val="auto"/>
              </w:rPr>
            </w:pPr>
            <w:r>
              <w:rPr>
                <w:rFonts w:hint="eastAsia"/>
                <w:color w:val="auto"/>
              </w:rPr>
              <w:t>安全事故0</w:t>
            </w:r>
          </w:p>
          <w:bookmarkEnd w:id="0"/>
          <w:p>
            <w:pPr>
              <w:rPr>
                <w:rFonts w:hint="eastAsia"/>
                <w:sz w:val="21"/>
                <w:szCs w:val="21"/>
              </w:rPr>
            </w:pPr>
            <w:r>
              <w:rPr>
                <w:rFonts w:hint="eastAsia" w:cs="Lucida Sans"/>
                <w:b/>
                <w:szCs w:val="20"/>
                <w:lang w:val="en-US" w:eastAsia="zh-CN"/>
              </w:rPr>
              <w:t>提供2020年第1-10月考核统计，目标均完成，</w:t>
            </w:r>
            <w:r>
              <w:rPr>
                <w:rFonts w:hint="eastAsia" w:ascii="Times New Roman" w:hAnsi="Times New Roman" w:eastAsia="宋体" w:cs="Lucida Sans"/>
                <w:b/>
                <w:szCs w:val="20"/>
              </w:rPr>
              <w:t>考核人：</w:t>
            </w:r>
            <w:r>
              <w:rPr>
                <w:rFonts w:hint="eastAsia"/>
              </w:rPr>
              <w:t>张淑芬</w:t>
            </w:r>
            <w:r>
              <w:rPr>
                <w:rFonts w:hint="eastAsia"/>
                <w:b w:val="0"/>
                <w:bCs w:val="0"/>
                <w:sz w:val="21"/>
                <w:szCs w:val="21"/>
              </w:rPr>
              <w:t>，</w:t>
            </w:r>
            <w:r>
              <w:rPr>
                <w:rFonts w:hint="eastAsia" w:ascii="Times New Roman" w:hAnsi="Times New Roman" w:eastAsia="宋体" w:cs="Lucida Sans"/>
                <w:b/>
                <w:szCs w:val="20"/>
              </w:rPr>
              <w:t>，目标适宜。</w:t>
            </w:r>
          </w:p>
          <w:p>
            <w:pPr>
              <w:ind w:firstLine="420" w:firstLineChars="200"/>
              <w:rPr>
                <w:rFonts w:hint="eastAsia" w:ascii="宋体" w:hAnsi="宋体" w:cs="宋体"/>
                <w:b w:val="0"/>
                <w:bCs w:val="0"/>
                <w:sz w:val="21"/>
                <w:szCs w:val="21"/>
              </w:rPr>
            </w:pPr>
            <w:r>
              <w:rPr>
                <w:rFonts w:hint="eastAsia" w:ascii="宋体" w:hAnsi="宋体" w:cs="宋体"/>
                <w:b w:val="0"/>
                <w:bCs w:val="0"/>
                <w:sz w:val="21"/>
                <w:szCs w:val="21"/>
              </w:rPr>
              <w:t>对可回收废弃物、危险废弃物分类管理，并集中收集和处理，完成了部门该项环境目标和指标。</w:t>
            </w:r>
          </w:p>
          <w:p>
            <w:pPr>
              <w:ind w:firstLine="420" w:firstLineChars="200"/>
              <w:rPr>
                <w:rFonts w:hint="eastAsia"/>
                <w:b w:val="0"/>
                <w:bCs w:val="0"/>
                <w:sz w:val="21"/>
                <w:szCs w:val="21"/>
              </w:rPr>
            </w:pPr>
            <w:r>
              <w:rPr>
                <w:rFonts w:hint="eastAsia"/>
                <w:b w:val="0"/>
                <w:bCs w:val="0"/>
                <w:sz w:val="21"/>
                <w:szCs w:val="21"/>
              </w:rPr>
              <w:t>对以上的目标指标制定了管理方案：</w:t>
            </w:r>
          </w:p>
          <w:p>
            <w:pPr>
              <w:ind w:left="210" w:leftChars="100" w:firstLine="210" w:firstLineChars="100"/>
              <w:rPr>
                <w:rFonts w:ascii="宋体" w:hAnsi="宋体" w:cs="宋体"/>
                <w:b w:val="0"/>
                <w:bCs w:val="0"/>
                <w:sz w:val="21"/>
                <w:szCs w:val="21"/>
              </w:rPr>
            </w:pPr>
            <w:r>
              <w:rPr>
                <w:rFonts w:hint="eastAsia" w:ascii="宋体" w:hAnsi="宋体" w:cs="宋体"/>
                <w:b w:val="0"/>
                <w:bCs w:val="0"/>
                <w:sz w:val="21"/>
                <w:szCs w:val="21"/>
              </w:rPr>
              <w:t>环境体系建立了管理方案，查管理方案表，共</w:t>
            </w:r>
            <w:r>
              <w:rPr>
                <w:rFonts w:ascii="宋体" w:hAnsi="宋体" w:cs="宋体"/>
                <w:b w:val="0"/>
                <w:bCs w:val="0"/>
                <w:sz w:val="21"/>
                <w:szCs w:val="21"/>
              </w:rPr>
              <w:t>3</w:t>
            </w:r>
            <w:r>
              <w:rPr>
                <w:rFonts w:hint="eastAsia" w:ascii="宋体" w:hAnsi="宋体" w:cs="宋体"/>
                <w:b w:val="0"/>
                <w:bCs w:val="0"/>
                <w:sz w:val="21"/>
                <w:szCs w:val="21"/>
              </w:rPr>
              <w:t>项： 1、办公用硒鼓、墨盒等固废；</w:t>
            </w:r>
            <w:r>
              <w:rPr>
                <w:rFonts w:hint="eastAsia" w:ascii="宋体" w:hAnsi="宋体" w:cs="宋体"/>
                <w:b w:val="0"/>
                <w:bCs w:val="0"/>
                <w:sz w:val="21"/>
                <w:szCs w:val="21"/>
                <w:lang w:eastAsia="zh-CN"/>
              </w:rPr>
              <w:t>办公</w:t>
            </w:r>
            <w:r>
              <w:rPr>
                <w:rFonts w:hint="eastAsia" w:ascii="宋体" w:hAnsi="宋体" w:cs="宋体"/>
                <w:b w:val="0"/>
                <w:bCs w:val="0"/>
                <w:sz w:val="21"/>
                <w:szCs w:val="21"/>
              </w:rPr>
              <w:t>废弃物等分类收集保管，交由相应部门处置；</w:t>
            </w:r>
          </w:p>
          <w:p>
            <w:pPr>
              <w:ind w:firstLine="420" w:firstLineChars="200"/>
              <w:rPr>
                <w:rFonts w:hint="eastAsia"/>
                <w:b w:val="0"/>
                <w:bCs w:val="0"/>
                <w:sz w:val="21"/>
                <w:szCs w:val="21"/>
              </w:rPr>
            </w:pPr>
            <w:r>
              <w:rPr>
                <w:rFonts w:hint="eastAsia" w:ascii="宋体" w:hAnsi="宋体" w:cs="宋体"/>
                <w:b w:val="0"/>
                <w:bCs w:val="0"/>
                <w:sz w:val="21"/>
                <w:szCs w:val="21"/>
              </w:rPr>
              <w:t>2、杜绝火灾发生，制定了管理方案:</w:t>
            </w:r>
            <w:r>
              <w:rPr>
                <w:rFonts w:hint="eastAsia"/>
                <w:b w:val="0"/>
                <w:bCs w:val="0"/>
              </w:rPr>
              <w:t xml:space="preserve"> </w:t>
            </w:r>
            <w:r>
              <w:rPr>
                <w:rFonts w:hint="eastAsia" w:ascii="宋体" w:hAnsi="宋体" w:cs="宋体"/>
                <w:b w:val="0"/>
                <w:bCs w:val="0"/>
                <w:sz w:val="21"/>
                <w:szCs w:val="21"/>
              </w:rPr>
              <w:t>制定3项管理方案：.制定相应的管理制度并严格执行，配备必要的防火设施（包括灭火器</w:t>
            </w:r>
            <w:r>
              <w:rPr>
                <w:rFonts w:ascii="宋体" w:hAnsi="宋体" w:cs="宋体"/>
                <w:b w:val="0"/>
                <w:bCs w:val="0"/>
                <w:sz w:val="21"/>
                <w:szCs w:val="21"/>
              </w:rPr>
              <w:t>a</w:t>
            </w:r>
            <w:r>
              <w:rPr>
                <w:rFonts w:hint="eastAsia" w:ascii="宋体" w:hAnsi="宋体" w:cs="宋体"/>
                <w:b w:val="0"/>
                <w:bCs w:val="0"/>
                <w:sz w:val="21"/>
                <w:szCs w:val="21"/>
              </w:rPr>
              <w:t>、消防栓等）</w:t>
            </w:r>
            <w:r>
              <w:rPr>
                <w:rFonts w:hint="eastAsia"/>
                <w:b w:val="0"/>
                <w:bCs w:val="0"/>
                <w:sz w:val="21"/>
                <w:szCs w:val="21"/>
              </w:rPr>
              <w:t>并保证其完好</w:t>
            </w:r>
          </w:p>
          <w:p>
            <w:pPr>
              <w:ind w:firstLine="420" w:firstLineChars="200"/>
              <w:rPr>
                <w:rFonts w:hint="eastAsia"/>
                <w:b w:val="0"/>
                <w:bCs w:val="0"/>
                <w:sz w:val="21"/>
                <w:szCs w:val="21"/>
              </w:rPr>
            </w:pPr>
            <w:r>
              <w:rPr>
                <w:rFonts w:hint="eastAsia"/>
                <w:b w:val="0"/>
                <w:bCs w:val="0"/>
                <w:sz w:val="21"/>
                <w:szCs w:val="21"/>
              </w:rPr>
              <w:t>b. 成立应急响应工作小组（见《应急预案》）</w:t>
            </w:r>
          </w:p>
          <w:p>
            <w:pPr>
              <w:ind w:firstLine="420" w:firstLineChars="200"/>
              <w:rPr>
                <w:rFonts w:hint="default"/>
                <w:b w:val="0"/>
                <w:bCs w:val="0"/>
                <w:sz w:val="21"/>
                <w:szCs w:val="21"/>
                <w:lang w:val="en-US"/>
              </w:rPr>
            </w:pPr>
            <w:r>
              <w:rPr>
                <w:rFonts w:hint="eastAsia"/>
                <w:b w:val="0"/>
                <w:bCs w:val="0"/>
                <w:sz w:val="21"/>
                <w:szCs w:val="21"/>
              </w:rPr>
              <w:t>c. 淘汰过期、报废设备,对灭火器更新；每年进行一次消防演习。执行部门：各部门，检查人：</w:t>
            </w:r>
            <w:r>
              <w:rPr>
                <w:rFonts w:hint="eastAsia"/>
              </w:rPr>
              <w:t>张淑芬</w:t>
            </w:r>
            <w:r>
              <w:rPr>
                <w:rFonts w:hint="eastAsia"/>
                <w:b w:val="0"/>
                <w:bCs w:val="0"/>
                <w:sz w:val="21"/>
                <w:szCs w:val="21"/>
              </w:rPr>
              <w:t>，资金投入</w:t>
            </w:r>
            <w:r>
              <w:rPr>
                <w:rFonts w:hint="eastAsia"/>
                <w:b w:val="0"/>
                <w:bCs w:val="0"/>
                <w:sz w:val="21"/>
                <w:szCs w:val="21"/>
                <w:lang w:val="en-US" w:eastAsia="zh-CN"/>
              </w:rPr>
              <w:t>5000</w:t>
            </w:r>
            <w:r>
              <w:rPr>
                <w:rFonts w:hint="eastAsia"/>
                <w:b w:val="0"/>
                <w:bCs w:val="0"/>
                <w:sz w:val="21"/>
                <w:szCs w:val="21"/>
              </w:rPr>
              <w:t>元，</w:t>
            </w:r>
            <w:r>
              <w:rPr>
                <w:rFonts w:hint="eastAsia"/>
                <w:b w:val="0"/>
                <w:bCs w:val="0"/>
                <w:sz w:val="21"/>
                <w:szCs w:val="21"/>
                <w:lang w:eastAsia="zh-CN"/>
              </w:rPr>
              <w:t>责任</w:t>
            </w:r>
            <w:r>
              <w:rPr>
                <w:rFonts w:hint="eastAsia"/>
                <w:b w:val="0"/>
                <w:bCs w:val="0"/>
                <w:sz w:val="21"/>
                <w:szCs w:val="21"/>
              </w:rPr>
              <w:t>人：</w:t>
            </w:r>
            <w:r>
              <w:rPr>
                <w:rFonts w:hint="eastAsia"/>
              </w:rPr>
              <w:t>丁路路</w:t>
            </w:r>
            <w:r>
              <w:rPr>
                <w:rFonts w:hint="eastAsia"/>
                <w:b w:val="0"/>
                <w:bCs w:val="0"/>
                <w:sz w:val="21"/>
                <w:szCs w:val="21"/>
              </w:rPr>
              <w:t>，，执行日期：</w:t>
            </w:r>
            <w:r>
              <w:rPr>
                <w:rFonts w:hint="eastAsia"/>
                <w:b w:val="0"/>
                <w:bCs w:val="0"/>
                <w:sz w:val="21"/>
                <w:szCs w:val="21"/>
                <w:lang w:eastAsia="zh-CN"/>
              </w:rPr>
              <w:t>2020</w:t>
            </w:r>
            <w:r>
              <w:rPr>
                <w:rFonts w:hint="eastAsia"/>
                <w:b w:val="0"/>
                <w:bCs w:val="0"/>
                <w:sz w:val="21"/>
                <w:szCs w:val="21"/>
                <w:lang w:val="en-US" w:eastAsia="zh-CN"/>
              </w:rPr>
              <w:t>.1.2</w:t>
            </w:r>
            <w:r>
              <w:rPr>
                <w:rFonts w:hint="eastAsia"/>
                <w:b w:val="0"/>
                <w:bCs w:val="0"/>
                <w:sz w:val="21"/>
                <w:szCs w:val="21"/>
              </w:rPr>
              <w:t>-</w:t>
            </w:r>
            <w:r>
              <w:rPr>
                <w:rFonts w:hint="eastAsia"/>
                <w:b w:val="0"/>
                <w:bCs w:val="0"/>
                <w:sz w:val="21"/>
                <w:szCs w:val="21"/>
                <w:lang w:eastAsia="zh-CN"/>
              </w:rPr>
              <w:t>2020.12.3</w:t>
            </w:r>
            <w:r>
              <w:rPr>
                <w:rFonts w:hint="eastAsia"/>
                <w:b w:val="0"/>
                <w:bCs w:val="0"/>
                <w:sz w:val="21"/>
                <w:szCs w:val="21"/>
                <w:lang w:val="en-US" w:eastAsia="zh-CN"/>
              </w:rPr>
              <w:t>1</w:t>
            </w:r>
          </w:p>
          <w:p>
            <w:pPr>
              <w:ind w:firstLine="420" w:firstLineChars="200"/>
              <w:rPr>
                <w:rFonts w:hint="eastAsia"/>
                <w:b w:val="0"/>
                <w:bCs w:val="0"/>
                <w:sz w:val="21"/>
                <w:szCs w:val="21"/>
              </w:rPr>
            </w:pPr>
            <w:r>
              <w:rPr>
                <w:rFonts w:hint="eastAsia"/>
                <w:b w:val="0"/>
                <w:bCs w:val="0"/>
                <w:sz w:val="21"/>
                <w:szCs w:val="21"/>
              </w:rPr>
              <w:t>3、电线老化引发火灾、临时接电触电,管理方案：a、电线检修               b、对职工进行安全教育培训。</w:t>
            </w:r>
          </w:p>
          <w:p>
            <w:pPr>
              <w:ind w:firstLine="420" w:firstLineChars="200"/>
              <w:rPr>
                <w:rFonts w:hint="eastAsia"/>
                <w:b w:val="0"/>
                <w:bCs w:val="0"/>
                <w:sz w:val="21"/>
                <w:szCs w:val="21"/>
              </w:rPr>
            </w:pPr>
            <w:r>
              <w:rPr>
                <w:rFonts w:hint="eastAsia"/>
                <w:b w:val="0"/>
                <w:bCs w:val="0"/>
                <w:sz w:val="21"/>
                <w:szCs w:val="21"/>
              </w:rPr>
              <w:t>资金预算费</w:t>
            </w:r>
            <w:r>
              <w:rPr>
                <w:rFonts w:hint="eastAsia"/>
                <w:b w:val="0"/>
                <w:bCs w:val="0"/>
                <w:sz w:val="21"/>
                <w:szCs w:val="21"/>
                <w:lang w:val="en-US" w:eastAsia="zh-CN"/>
              </w:rPr>
              <w:t>1万</w:t>
            </w:r>
            <w:r>
              <w:rPr>
                <w:rFonts w:hint="eastAsia"/>
                <w:b w:val="0"/>
                <w:bCs w:val="0"/>
                <w:sz w:val="21"/>
                <w:szCs w:val="21"/>
              </w:rPr>
              <w:t>元，执行部门：各部门，</w:t>
            </w:r>
            <w:r>
              <w:rPr>
                <w:rFonts w:hint="eastAsia"/>
                <w:b w:val="0"/>
                <w:bCs w:val="0"/>
                <w:sz w:val="21"/>
                <w:szCs w:val="21"/>
                <w:lang w:eastAsia="zh-CN"/>
              </w:rPr>
              <w:t>责任</w:t>
            </w:r>
            <w:r>
              <w:rPr>
                <w:rFonts w:hint="eastAsia"/>
                <w:b w:val="0"/>
                <w:bCs w:val="0"/>
                <w:sz w:val="21"/>
                <w:szCs w:val="21"/>
              </w:rPr>
              <w:t>人：</w:t>
            </w:r>
            <w:r>
              <w:rPr>
                <w:rFonts w:hint="eastAsia" w:ascii="宋体" w:hAnsi="宋体"/>
                <w:szCs w:val="21"/>
              </w:rPr>
              <w:t>郭洪</w:t>
            </w:r>
            <w:r>
              <w:rPr>
                <w:rFonts w:hint="eastAsia"/>
                <w:b w:val="0"/>
                <w:bCs w:val="0"/>
                <w:sz w:val="21"/>
                <w:szCs w:val="21"/>
              </w:rPr>
              <w:t>，执行日期：</w:t>
            </w:r>
            <w:r>
              <w:rPr>
                <w:rFonts w:hint="eastAsia"/>
                <w:b w:val="0"/>
                <w:bCs w:val="0"/>
                <w:sz w:val="21"/>
                <w:szCs w:val="21"/>
                <w:lang w:eastAsia="zh-CN"/>
              </w:rPr>
              <w:t>2020</w:t>
            </w:r>
            <w:r>
              <w:rPr>
                <w:rFonts w:hint="eastAsia"/>
                <w:b w:val="0"/>
                <w:bCs w:val="0"/>
                <w:sz w:val="21"/>
                <w:szCs w:val="21"/>
                <w:lang w:val="en-US" w:eastAsia="zh-CN"/>
              </w:rPr>
              <w:t>.1.2</w:t>
            </w:r>
            <w:r>
              <w:rPr>
                <w:rFonts w:hint="eastAsia"/>
                <w:b w:val="0"/>
                <w:bCs w:val="0"/>
                <w:sz w:val="21"/>
                <w:szCs w:val="21"/>
              </w:rPr>
              <w:t>-</w:t>
            </w:r>
            <w:r>
              <w:rPr>
                <w:rFonts w:hint="eastAsia"/>
                <w:b w:val="0"/>
                <w:bCs w:val="0"/>
                <w:sz w:val="21"/>
                <w:szCs w:val="21"/>
                <w:lang w:eastAsia="zh-CN"/>
              </w:rPr>
              <w:t>2020.12.30</w:t>
            </w:r>
          </w:p>
          <w:p>
            <w:pPr>
              <w:ind w:firstLine="420" w:firstLineChars="200"/>
              <w:rPr>
                <w:rFonts w:hint="eastAsia"/>
                <w:b w:val="0"/>
                <w:bCs w:val="0"/>
                <w:sz w:val="21"/>
                <w:szCs w:val="21"/>
              </w:rPr>
            </w:pPr>
            <w:r>
              <w:rPr>
                <w:rFonts w:hint="eastAsia"/>
                <w:b w:val="0"/>
                <w:bCs w:val="0"/>
                <w:sz w:val="21"/>
                <w:szCs w:val="21"/>
              </w:rPr>
              <w:t>上述目标、指标</w:t>
            </w:r>
            <w:r>
              <w:rPr>
                <w:rFonts w:hint="eastAsia"/>
                <w:b w:val="0"/>
                <w:bCs w:val="0"/>
                <w:sz w:val="21"/>
                <w:szCs w:val="21"/>
                <w:lang w:eastAsia="zh-CN"/>
              </w:rPr>
              <w:t>2020</w:t>
            </w:r>
            <w:r>
              <w:rPr>
                <w:rFonts w:hint="eastAsia"/>
                <w:b w:val="0"/>
                <w:bCs w:val="0"/>
                <w:sz w:val="21"/>
                <w:szCs w:val="21"/>
              </w:rPr>
              <w:t>年</w:t>
            </w:r>
            <w:r>
              <w:rPr>
                <w:rFonts w:hint="eastAsia"/>
                <w:b w:val="0"/>
                <w:bCs w:val="0"/>
                <w:sz w:val="21"/>
                <w:szCs w:val="21"/>
                <w:lang w:val="en-US" w:eastAsia="zh-CN"/>
              </w:rPr>
              <w:t>6月</w:t>
            </w:r>
            <w:r>
              <w:rPr>
                <w:rFonts w:hint="eastAsia"/>
                <w:b w:val="0"/>
                <w:bCs w:val="0"/>
                <w:sz w:val="21"/>
                <w:szCs w:val="21"/>
              </w:rPr>
              <w:t>度进行考核，考核结果：全部达标，考核人：</w:t>
            </w:r>
            <w:r>
              <w:rPr>
                <w:rFonts w:hint="eastAsia"/>
              </w:rPr>
              <w:t>张淑芬</w:t>
            </w:r>
            <w:r>
              <w:rPr>
                <w:rFonts w:hint="eastAsia"/>
                <w:b w:val="0"/>
                <w:bCs w:val="0"/>
                <w:sz w:val="21"/>
                <w:szCs w:val="21"/>
              </w:rPr>
              <w:t>。</w:t>
            </w:r>
          </w:p>
          <w:p>
            <w:pPr>
              <w:rPr>
                <w:b w:val="0"/>
                <w:bCs w:val="0"/>
              </w:rPr>
            </w:pPr>
            <w:r>
              <w:rPr>
                <w:rFonts w:hint="eastAsia"/>
                <w:b w:val="0"/>
                <w:bCs w:val="0"/>
                <w:sz w:val="21"/>
                <w:szCs w:val="21"/>
              </w:rPr>
              <w:t>制定的指标和管理方案基本可行。</w:t>
            </w:r>
          </w:p>
        </w:tc>
        <w:tc>
          <w:tcPr>
            <w:tcW w:w="1585" w:type="dxa"/>
          </w:tcPr>
          <w:p>
            <w:pPr>
              <w:rPr>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exact"/>
              <w:rPr>
                <w:rFonts w:ascii="Times New Roman" w:hAnsi="Times New Roman" w:eastAsia="宋体" w:cs="Lucida Sans"/>
                <w:b/>
                <w:szCs w:val="20"/>
              </w:rPr>
            </w:pPr>
            <w:r>
              <w:rPr>
                <w:rFonts w:hint="eastAsia" w:ascii="Times New Roman" w:hAnsi="Times New Roman" w:eastAsia="宋体" w:cs="Lucida Sans"/>
                <w:b/>
                <w:szCs w:val="20"/>
              </w:rPr>
              <w:t>应对风险和机遇的措施</w:t>
            </w:r>
          </w:p>
          <w:p>
            <w:pPr>
              <w:rPr>
                <w:rFonts w:hint="eastAsia"/>
                <w:b w:val="0"/>
                <w:bCs w:val="0"/>
                <w:sz w:val="21"/>
                <w:szCs w:val="21"/>
              </w:rPr>
            </w:pPr>
          </w:p>
        </w:tc>
        <w:tc>
          <w:tcPr>
            <w:tcW w:w="960" w:type="dxa"/>
            <w:vAlign w:val="center"/>
          </w:tcPr>
          <w:p>
            <w:pPr>
              <w:rPr>
                <w:rFonts w:ascii="Times New Roman" w:hAnsi="Times New Roman" w:eastAsia="宋体" w:cs="Lucida Sans"/>
                <w:b/>
                <w:szCs w:val="20"/>
              </w:rPr>
            </w:pPr>
            <w:r>
              <w:rPr>
                <w:rFonts w:hint="eastAsia" w:ascii="Times New Roman" w:hAnsi="Times New Roman" w:eastAsia="宋体" w:cs="Lucida Sans"/>
                <w:b/>
                <w:szCs w:val="20"/>
              </w:rPr>
              <w:t>E</w:t>
            </w:r>
            <w:r>
              <w:rPr>
                <w:rFonts w:hint="eastAsia" w:cs="Lucida Sans"/>
                <w:b/>
                <w:szCs w:val="20"/>
                <w:lang w:val="en-US" w:eastAsia="zh-CN"/>
              </w:rPr>
              <w:t>S</w:t>
            </w:r>
            <w:r>
              <w:rPr>
                <w:rFonts w:hint="eastAsia" w:ascii="Times New Roman" w:hAnsi="Times New Roman" w:eastAsia="宋体" w:cs="Lucida Sans"/>
                <w:b/>
                <w:szCs w:val="20"/>
              </w:rPr>
              <w:t>6.1.1</w:t>
            </w:r>
          </w:p>
          <w:p>
            <w:pPr>
              <w:rPr>
                <w:rFonts w:ascii="Times New Roman" w:hAnsi="Times New Roman" w:eastAsia="宋体" w:cs="Lucida Sans"/>
                <w:b/>
                <w:szCs w:val="20"/>
              </w:rPr>
            </w:pPr>
          </w:p>
          <w:p>
            <w:pPr>
              <w:rPr>
                <w:rFonts w:ascii="Times New Roman" w:hAnsi="Times New Roman" w:eastAsia="宋体" w:cs="Times New Roman"/>
                <w:kern w:val="2"/>
                <w:sz w:val="21"/>
                <w:lang w:val="en-US" w:eastAsia="zh-CN" w:bidi="ar-SA"/>
              </w:rPr>
            </w:pPr>
          </w:p>
        </w:tc>
        <w:tc>
          <w:tcPr>
            <w:tcW w:w="10004" w:type="dxa"/>
            <w:vAlign w:val="center"/>
          </w:tcPr>
          <w:p>
            <w:pPr>
              <w:rPr>
                <w:rFonts w:hint="eastAsia" w:ascii="Times New Roman" w:hAnsi="Times New Roman" w:eastAsia="宋体" w:cs="Lucida Sans"/>
                <w:b w:val="0"/>
                <w:bCs/>
                <w:szCs w:val="20"/>
              </w:rPr>
            </w:pPr>
          </w:p>
          <w:p>
            <w:pPr>
              <w:spacing w:line="280" w:lineRule="exact"/>
              <w:ind w:firstLine="420" w:firstLineChars="200"/>
            </w:pPr>
            <w:r>
              <w:rPr>
                <w:rFonts w:hint="eastAsia" w:ascii="Times New Roman" w:hAnsi="Times New Roman" w:eastAsia="宋体" w:cs="Lucida Sans"/>
                <w:b w:val="0"/>
                <w:bCs/>
                <w:szCs w:val="20"/>
              </w:rPr>
              <w:t>用</w:t>
            </w:r>
            <w:r>
              <w:rPr>
                <w:rFonts w:hint="eastAsia"/>
              </w:rPr>
              <w:t>1.外部因素主要有：a)社会和文化、政治、法律、监管、金融、技术、经济、自然环境和竞争环境；b)影响公司管理目标的主要驱动和趋势；c)与外部利益相关者的价值观的关系。如国家政策、标准、法律法规及其他要求的变动等；</w:t>
            </w:r>
          </w:p>
          <w:p>
            <w:pPr>
              <w:spacing w:line="280" w:lineRule="exact"/>
              <w:ind w:firstLine="420" w:firstLineChars="200"/>
            </w:pPr>
            <w:r>
              <w:rPr>
                <w:rFonts w:hint="eastAsia"/>
              </w:rPr>
              <w:t>2.内部因素包括：a)组织机构，角色和责任；b)政策、目标、实现目标的战略；c)能力、资源和知识（资本、时间、人、能力、流程、系统和技术等）；d)内部利益相关者的价值观与组织文化之间的关系；e)信息系统、信息流和决策流程；f)合同关系的形成和范围。</w:t>
            </w:r>
          </w:p>
          <w:p>
            <w:r>
              <w:rPr>
                <w:rFonts w:hint="eastAsia"/>
              </w:rPr>
              <w:t>3.</w:t>
            </w:r>
            <w:r>
              <w:t>在进行体系策划时，公司领导层考虑该公司所处的内外环境和问题，以及相关方的要求，识别和确定该公司</w:t>
            </w:r>
            <w:r>
              <w:rPr>
                <w:rFonts w:hint="eastAsia"/>
              </w:rPr>
              <w:t>资质范围内工程设计；工程项目管理</w:t>
            </w:r>
            <w:r>
              <w:t>中存在的影响</w:t>
            </w:r>
            <w:r>
              <w:rPr>
                <w:rFonts w:hint="eastAsia"/>
                <w:lang w:val="en-US" w:eastAsia="zh-CN"/>
              </w:rPr>
              <w:t>设计</w:t>
            </w:r>
            <w:r>
              <w:t>和服务质量的风险和机遇、通过环境因素和危险源识别及评价，合规义务的收集和评价，确定公司内外环境中存在的问题和合规义务的要求，识别公司存在的环境风险和机遇。确保公司的质量、环境管理体系能够实现其预期结果，预防或减少不期望的影响，包括外部环境状况对公司的潜在影响，实现持续改进。</w:t>
            </w:r>
          </w:p>
          <w:p>
            <w:pPr>
              <w:rPr>
                <w:color w:val="auto"/>
              </w:rPr>
            </w:pPr>
            <w:r>
              <w:t>公司存</w:t>
            </w:r>
            <w:r>
              <w:rPr>
                <w:color w:val="auto"/>
              </w:rPr>
              <w:t>在的风险和机遇主要有：</w:t>
            </w:r>
          </w:p>
          <w:p>
            <w:pPr>
              <w:rPr>
                <w:color w:val="auto"/>
              </w:rPr>
            </w:pPr>
            <w:r>
              <w:rPr>
                <w:color w:val="auto"/>
              </w:rPr>
              <w:t>a）</w:t>
            </w:r>
            <w:r>
              <w:rPr>
                <w:rFonts w:hint="eastAsia" w:ascii="宋体" w:hAnsi="宋体"/>
                <w:szCs w:val="21"/>
              </w:rPr>
              <w:t>钢结构加工(法规强制要求范围除外)</w:t>
            </w:r>
            <w:r>
              <w:rPr>
                <w:rFonts w:hint="eastAsia"/>
                <w:color w:val="auto"/>
              </w:rPr>
              <w:t>；</w:t>
            </w:r>
            <w:r>
              <w:rPr>
                <w:color w:val="auto"/>
              </w:rPr>
              <w:t>由于人员的专业知识不足，质量不合格。</w:t>
            </w:r>
          </w:p>
          <w:p>
            <w:pPr>
              <w:rPr>
                <w:color w:val="auto"/>
              </w:rPr>
            </w:pPr>
            <w:r>
              <w:rPr>
                <w:color w:val="auto"/>
              </w:rPr>
              <w:t>b）</w:t>
            </w:r>
            <w:r>
              <w:rPr>
                <w:rFonts w:hint="eastAsia" w:ascii="宋体" w:hAnsi="宋体"/>
                <w:szCs w:val="21"/>
              </w:rPr>
              <w:t>钢结构加工(法规强制要求范围除外)</w:t>
            </w:r>
            <w:r>
              <w:rPr>
                <w:rFonts w:hint="eastAsia"/>
                <w:color w:val="auto"/>
              </w:rPr>
              <w:t>；</w:t>
            </w:r>
            <w:r>
              <w:rPr>
                <w:color w:val="auto"/>
              </w:rPr>
              <w:t>由于人员的环境保护、安全意识不够，造成意外环境污染和工伤事故。</w:t>
            </w:r>
          </w:p>
          <w:p>
            <w:pPr>
              <w:rPr>
                <w:color w:val="auto"/>
              </w:rPr>
            </w:pPr>
            <w:r>
              <w:rPr>
                <w:color w:val="auto"/>
              </w:rPr>
              <w:t>c）</w:t>
            </w:r>
            <w:r>
              <w:rPr>
                <w:rFonts w:hint="eastAsia" w:ascii="宋体" w:hAnsi="宋体"/>
                <w:szCs w:val="21"/>
              </w:rPr>
              <w:t>钢结构加工(法规强制要求范围除外)</w:t>
            </w:r>
            <w:r>
              <w:rPr>
                <w:rFonts w:hint="eastAsia"/>
                <w:color w:val="auto"/>
              </w:rPr>
              <w:t>；</w:t>
            </w:r>
            <w:r>
              <w:rPr>
                <w:color w:val="auto"/>
              </w:rPr>
              <w:t>由于设备故障，造成人员</w:t>
            </w:r>
            <w:r>
              <w:rPr>
                <w:rFonts w:hint="eastAsia"/>
                <w:color w:val="auto"/>
                <w:lang w:val="en-US" w:eastAsia="zh-CN"/>
              </w:rPr>
              <w:t>意外</w:t>
            </w:r>
            <w:r>
              <w:rPr>
                <w:color w:val="auto"/>
              </w:rPr>
              <w:t>伤害、触电事故。</w:t>
            </w:r>
          </w:p>
          <w:p>
            <w:pPr>
              <w:rPr>
                <w:color w:val="auto"/>
              </w:rPr>
            </w:pPr>
            <w:r>
              <w:rPr>
                <w:color w:val="auto"/>
              </w:rPr>
              <w:t>d</w:t>
            </w:r>
            <w:r>
              <w:rPr>
                <w:rFonts w:hint="eastAsia" w:ascii="宋体" w:hAnsi="宋体"/>
                <w:szCs w:val="21"/>
              </w:rPr>
              <w:t>钢结构加工(法规强制要求范围除外)</w:t>
            </w:r>
            <w:r>
              <w:rPr>
                <w:rFonts w:hint="eastAsia"/>
                <w:color w:val="auto"/>
              </w:rPr>
              <w:t>；</w:t>
            </w:r>
            <w:r>
              <w:rPr>
                <w:color w:val="auto"/>
              </w:rPr>
              <w:t>由于作业指导书、安全作业规程不足，使得</w:t>
            </w:r>
            <w:r>
              <w:rPr>
                <w:rFonts w:hint="eastAsia"/>
                <w:color w:val="auto"/>
                <w:lang w:val="en-US" w:eastAsia="zh-CN"/>
              </w:rPr>
              <w:t>服务</w:t>
            </w:r>
            <w:r>
              <w:rPr>
                <w:color w:val="auto"/>
              </w:rPr>
              <w:t>质量不合格和人员安全事件的发生。</w:t>
            </w:r>
          </w:p>
          <w:p>
            <w:pPr>
              <w:rPr>
                <w:color w:val="auto"/>
              </w:rPr>
            </w:pPr>
            <w:r>
              <w:rPr>
                <w:rFonts w:hint="eastAsia"/>
                <w:color w:val="auto"/>
                <w:lang w:val="en-US" w:eastAsia="zh-CN"/>
              </w:rPr>
              <w:t>e</w:t>
            </w:r>
            <w:r>
              <w:rPr>
                <w:color w:val="auto"/>
              </w:rPr>
              <w:t>）违反相关的法律法规，影响公司的社会形象，遵守法规提高公司的社会形象。</w:t>
            </w:r>
          </w:p>
          <w:p>
            <w:pPr>
              <w:rPr>
                <w:color w:val="auto"/>
              </w:rPr>
            </w:pPr>
            <w:r>
              <w:rPr>
                <w:rFonts w:hint="eastAsia"/>
                <w:color w:val="auto"/>
                <w:lang w:val="en-US" w:eastAsia="zh-CN"/>
              </w:rPr>
              <w:t>f</w:t>
            </w:r>
            <w:r>
              <w:rPr>
                <w:color w:val="auto"/>
              </w:rPr>
              <w:t>）公司潜在紧急情况，如火灾、触电、车辆伤害、物体打击等。</w:t>
            </w:r>
          </w:p>
          <w:p>
            <w:pPr>
              <w:rPr>
                <w:color w:val="auto"/>
              </w:rPr>
            </w:pPr>
            <w:r>
              <w:rPr>
                <w:rFonts w:hint="eastAsia"/>
                <w:color w:val="auto"/>
                <w:lang w:val="en-US" w:eastAsia="zh-CN"/>
              </w:rPr>
              <w:t>g</w:t>
            </w:r>
            <w:r>
              <w:rPr>
                <w:rFonts w:hint="eastAsia"/>
                <w:color w:val="auto"/>
              </w:rPr>
              <w:t>）</w:t>
            </w:r>
            <w:r>
              <w:rPr>
                <w:color w:val="auto"/>
              </w:rPr>
              <w:t>经营方面的风险如PPP、资金运行等</w:t>
            </w:r>
          </w:p>
          <w:p>
            <w:pPr>
              <w:ind w:firstLine="420" w:firstLineChars="200"/>
            </w:pPr>
            <w:r>
              <w:t>应对这些风险编制了《管理手册》</w:t>
            </w:r>
            <w:r>
              <w:rPr>
                <w:rFonts w:hint="eastAsia"/>
              </w:rPr>
              <w:t>、</w:t>
            </w:r>
            <w:r>
              <w:t>《程序文件》及《管理制度》。</w:t>
            </w:r>
          </w:p>
          <w:p>
            <w:pPr>
              <w:spacing w:line="280" w:lineRule="exact"/>
              <w:ind w:firstLine="420" w:firstLineChars="200"/>
              <w:rPr>
                <w:rFonts w:hint="eastAsia"/>
              </w:rPr>
            </w:pPr>
            <w:r>
              <w:rPr>
                <w:rFonts w:hint="eastAsia"/>
              </w:rPr>
              <w:t>提供有《环境安全运行管理制度》，内容包括环境因素、危险源的识别、评价、汇总；重要环境因素和不可接受风险的控制。</w:t>
            </w:r>
          </w:p>
          <w:p>
            <w:pPr>
              <w:rPr>
                <w:rFonts w:hint="default" w:ascii="Times New Roman" w:hAnsi="Times New Roman" w:eastAsia="宋体" w:cs="Lucida Sans"/>
                <w:b w:val="0"/>
                <w:bCs/>
                <w:szCs w:val="20"/>
                <w:lang w:val="en-US" w:eastAsia="zh-CN"/>
              </w:rPr>
            </w:pPr>
            <w:r>
              <w:rPr>
                <w:rFonts w:hint="eastAsia" w:cs="宋体" w:asciiTheme="minorEastAsia" w:hAnsiTheme="minorEastAsia" w:eastAsiaTheme="minorEastAsia"/>
                <w:szCs w:val="21"/>
                <w:lang w:val="en-US" w:eastAsia="zh-CN"/>
              </w:rPr>
              <w:t>公司对识别的重要环境因素及不可接受风险，对其进行监控</w:t>
            </w:r>
            <w:r>
              <w:rPr>
                <w:rFonts w:hint="eastAsia"/>
              </w:rPr>
              <w:t>并贯穿其整个生命周期</w:t>
            </w:r>
          </w:p>
          <w:p>
            <w:pPr>
              <w:rPr>
                <w:rFonts w:hint="eastAsia" w:ascii="Times New Roman" w:hAnsi="Times New Roman" w:eastAsia="宋体" w:cs="Times New Roman"/>
                <w:kern w:val="2"/>
                <w:sz w:val="21"/>
                <w:lang w:val="en-US" w:eastAsia="zh-CN" w:bidi="ar-SA"/>
              </w:rPr>
            </w:pPr>
          </w:p>
        </w:tc>
        <w:tc>
          <w:tcPr>
            <w:tcW w:w="1585" w:type="dxa"/>
          </w:tcPr>
          <w:p>
            <w:pPr>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hint="eastAsia"/>
                <w:b w:val="0"/>
                <w:bCs w:val="0"/>
                <w:sz w:val="21"/>
                <w:szCs w:val="21"/>
              </w:rPr>
            </w:pPr>
          </w:p>
          <w:p>
            <w:pPr>
              <w:rPr>
                <w:rFonts w:hint="eastAsia"/>
                <w:b w:val="0"/>
                <w:bCs w:val="0"/>
                <w:sz w:val="21"/>
                <w:szCs w:val="21"/>
              </w:rPr>
            </w:pPr>
          </w:p>
          <w:p>
            <w:pPr>
              <w:rPr>
                <w:rFonts w:hint="eastAsia" w:eastAsia="宋体"/>
                <w:b w:val="0"/>
                <w:bCs w:val="0"/>
                <w:lang w:eastAsia="zh-CN"/>
              </w:rPr>
            </w:pPr>
            <w:r>
              <w:rPr>
                <w:rFonts w:hint="eastAsia"/>
                <w:b w:val="0"/>
                <w:bCs w:val="0"/>
                <w:sz w:val="21"/>
                <w:szCs w:val="21"/>
              </w:rPr>
              <w:t>环境因素、危险源识别</w:t>
            </w:r>
          </w:p>
        </w:tc>
        <w:tc>
          <w:tcPr>
            <w:tcW w:w="960" w:type="dxa"/>
            <w:vAlign w:val="center"/>
          </w:tcPr>
          <w:p>
            <w:pPr>
              <w:rPr>
                <w:rFonts w:hint="eastAsia"/>
                <w:b w:val="0"/>
                <w:bCs w:val="0"/>
                <w:sz w:val="21"/>
                <w:szCs w:val="21"/>
              </w:rPr>
            </w:pPr>
            <w:r>
              <w:rPr>
                <w:rFonts w:hint="eastAsia"/>
                <w:b w:val="0"/>
                <w:bCs w:val="0"/>
                <w:sz w:val="21"/>
                <w:szCs w:val="21"/>
              </w:rPr>
              <w:t>E</w:t>
            </w:r>
            <w:r>
              <w:rPr>
                <w:rFonts w:hint="eastAsia"/>
                <w:b w:val="0"/>
                <w:bCs w:val="0"/>
                <w:sz w:val="21"/>
                <w:szCs w:val="21"/>
                <w:lang w:val="en-US" w:eastAsia="zh-CN"/>
              </w:rPr>
              <w:t>O</w:t>
            </w:r>
            <w:r>
              <w:rPr>
                <w:rFonts w:hint="eastAsia"/>
                <w:b w:val="0"/>
                <w:bCs w:val="0"/>
                <w:sz w:val="21"/>
                <w:szCs w:val="21"/>
              </w:rPr>
              <w:t>6.1.2</w:t>
            </w:r>
          </w:p>
          <w:p>
            <w:pPr>
              <w:rPr>
                <w:b w:val="0"/>
                <w:bCs w:val="0"/>
              </w:rPr>
            </w:pPr>
          </w:p>
        </w:tc>
        <w:tc>
          <w:tcPr>
            <w:tcW w:w="10004" w:type="dxa"/>
            <w:vAlign w:val="center"/>
          </w:tcPr>
          <w:p>
            <w:pPr>
              <w:spacing w:line="394" w:lineRule="exact"/>
              <w:ind w:firstLine="420" w:firstLineChars="200"/>
              <w:rPr>
                <w:rFonts w:hint="eastAsia"/>
                <w:sz w:val="21"/>
                <w:szCs w:val="21"/>
              </w:rPr>
            </w:pPr>
            <w:r>
              <w:rPr>
                <w:rFonts w:hint="eastAsia"/>
                <w:sz w:val="21"/>
                <w:szCs w:val="21"/>
              </w:rPr>
              <w:t>编制了</w:t>
            </w:r>
            <w:r>
              <w:rPr>
                <w:sz w:val="21"/>
                <w:szCs w:val="21"/>
              </w:rPr>
              <w:t>《环境因素的识别与评价控制程序》《危险源辩识、风险评价和风险控制策划程序》</w:t>
            </w:r>
            <w:r>
              <w:rPr>
                <w:rFonts w:hint="eastAsia"/>
                <w:sz w:val="21"/>
                <w:szCs w:val="21"/>
              </w:rPr>
              <w:t>符合标准要求.</w:t>
            </w:r>
          </w:p>
          <w:p>
            <w:pPr>
              <w:rPr>
                <w:rFonts w:ascii="宋体" w:hAnsi="宋体" w:cs="宋体"/>
                <w:kern w:val="0"/>
                <w:szCs w:val="21"/>
              </w:rPr>
            </w:pPr>
            <w:r>
              <w:rPr>
                <w:rFonts w:hint="eastAsia"/>
                <w:sz w:val="21"/>
                <w:szCs w:val="21"/>
              </w:rPr>
              <w:t>提供的“环境因素识别评价表”“重要环境因素清单”， 评价考虑了三种时态现在、过去、将来、三种状态、异常、正常、紧急考虑了法律法规，并进行了评价，</w:t>
            </w:r>
            <w:r>
              <w:rPr>
                <w:rFonts w:hint="eastAsia" w:ascii="宋体" w:hAnsi="宋体"/>
                <w:szCs w:val="21"/>
              </w:rPr>
              <w:t>钢结构加工(法规强制要求范围除外)</w:t>
            </w:r>
            <w:r>
              <w:rPr>
                <w:rFonts w:hint="eastAsia" w:ascii="宋体" w:hAnsi="宋体" w:cs="宋体"/>
                <w:kern w:val="0"/>
                <w:szCs w:val="21"/>
              </w:rPr>
              <w:t>及相关环境管理活动</w:t>
            </w:r>
          </w:p>
          <w:p>
            <w:pPr>
              <w:ind w:firstLine="420" w:firstLineChars="200"/>
              <w:rPr>
                <w:sz w:val="21"/>
                <w:szCs w:val="21"/>
              </w:rPr>
            </w:pPr>
            <w:r>
              <w:rPr>
                <w:rFonts w:hint="eastAsia"/>
                <w:sz w:val="21"/>
                <w:szCs w:val="21"/>
                <w:lang w:eastAsia="zh-CN"/>
              </w:rPr>
              <w:t>根据企业的生产</w:t>
            </w:r>
            <w:r>
              <w:rPr>
                <w:rFonts w:hint="eastAsia"/>
                <w:sz w:val="21"/>
                <w:szCs w:val="21"/>
              </w:rPr>
              <w:t>服务过程，用打分法考虑了法规符合性、发生频次、影响范围等, 通过定性判断法，共识别出重大环境因素</w:t>
            </w:r>
            <w:r>
              <w:rPr>
                <w:rFonts w:hint="eastAsia"/>
                <w:sz w:val="21"/>
                <w:szCs w:val="21"/>
                <w:lang w:val="en-US" w:eastAsia="zh-CN"/>
              </w:rPr>
              <w:t>4</w:t>
            </w:r>
            <w:r>
              <w:rPr>
                <w:rFonts w:hint="eastAsia"/>
                <w:sz w:val="21"/>
                <w:szCs w:val="21"/>
              </w:rPr>
              <w:t>项：固废排放、火灾</w:t>
            </w:r>
            <w:r>
              <w:rPr>
                <w:rFonts w:hint="eastAsia"/>
                <w:sz w:val="21"/>
                <w:szCs w:val="21"/>
                <w:lang w:eastAsia="zh-CN"/>
              </w:rPr>
              <w:t>、噪声、废气</w:t>
            </w:r>
            <w:r>
              <w:rPr>
                <w:rFonts w:hint="eastAsia"/>
                <w:sz w:val="21"/>
                <w:szCs w:val="21"/>
              </w:rPr>
              <w:t>，评价符合程序要求及公司的实际情况。</w:t>
            </w:r>
          </w:p>
          <w:p>
            <w:pPr>
              <w:ind w:firstLine="420" w:firstLineChars="200"/>
              <w:rPr>
                <w:rFonts w:hint="eastAsia"/>
                <w:sz w:val="21"/>
                <w:szCs w:val="21"/>
              </w:rPr>
            </w:pPr>
            <w:r>
              <w:rPr>
                <w:rFonts w:hint="eastAsia"/>
                <w:sz w:val="21"/>
                <w:szCs w:val="21"/>
              </w:rPr>
              <w:t>对重要环境因素的控制措施包括制定管理制度、监督检查、应急预案、培训等。提供《重要环境因素识别清单》，其中</w:t>
            </w:r>
            <w:r>
              <w:rPr>
                <w:rFonts w:hint="eastAsia"/>
                <w:sz w:val="21"/>
                <w:szCs w:val="21"/>
                <w:lang w:eastAsia="zh-CN"/>
              </w:rPr>
              <w:t>生产</w:t>
            </w:r>
            <w:r>
              <w:rPr>
                <w:rFonts w:hint="eastAsia"/>
                <w:sz w:val="21"/>
                <w:szCs w:val="21"/>
              </w:rPr>
              <w:t>涉及的重要环境因素：固废排放、火灾</w:t>
            </w:r>
            <w:r>
              <w:rPr>
                <w:rFonts w:hint="eastAsia"/>
                <w:sz w:val="21"/>
                <w:szCs w:val="21"/>
                <w:lang w:eastAsia="zh-CN"/>
              </w:rPr>
              <w:t>、噪声、废气</w:t>
            </w:r>
            <w:r>
              <w:rPr>
                <w:rFonts w:hint="eastAsia"/>
                <w:sz w:val="21"/>
                <w:szCs w:val="21"/>
              </w:rPr>
              <w:t>，评价基本合理。</w:t>
            </w:r>
          </w:p>
          <w:p>
            <w:pPr>
              <w:ind w:firstLine="420" w:firstLineChars="200"/>
              <w:rPr>
                <w:rFonts w:hint="eastAsia"/>
                <w:sz w:val="21"/>
                <w:szCs w:val="21"/>
              </w:rPr>
            </w:pPr>
            <w:r>
              <w:rPr>
                <w:rFonts w:hint="eastAsia"/>
                <w:sz w:val="21"/>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ind w:firstLine="420" w:firstLineChars="200"/>
              <w:rPr>
                <w:sz w:val="21"/>
                <w:szCs w:val="21"/>
              </w:rPr>
            </w:pPr>
            <w:r>
              <w:rPr>
                <w:rFonts w:hint="eastAsia"/>
                <w:sz w:val="21"/>
                <w:szCs w:val="21"/>
              </w:rPr>
              <w:t>提供的：“危险源识别与风险评价表”“不可接受风险源清单”， 评价考虑了将来、状态、可能导致的事件，并进行了评价，用打分法考虑了法规符合性、发生频次、影响范围等, 通过是非法，共识别出不可接受风险</w:t>
            </w:r>
            <w:r>
              <w:rPr>
                <w:rFonts w:hint="eastAsia"/>
                <w:sz w:val="21"/>
                <w:szCs w:val="21"/>
                <w:lang w:val="en-US" w:eastAsia="zh-CN"/>
              </w:rPr>
              <w:t>4</w:t>
            </w:r>
            <w:r>
              <w:rPr>
                <w:rFonts w:hint="eastAsia"/>
                <w:sz w:val="21"/>
                <w:szCs w:val="21"/>
              </w:rPr>
              <w:t>项，涉及：火灾和触电</w:t>
            </w:r>
            <w:r>
              <w:rPr>
                <w:rFonts w:hint="eastAsia"/>
                <w:sz w:val="21"/>
                <w:szCs w:val="21"/>
                <w:lang w:eastAsia="zh-CN"/>
              </w:rPr>
              <w:t>、机械伤害、职业病。</w:t>
            </w:r>
            <w:r>
              <w:rPr>
                <w:rFonts w:hint="eastAsia"/>
                <w:sz w:val="21"/>
                <w:szCs w:val="21"/>
              </w:rPr>
              <w:t>评价符合程序要求及公司的实际情况。对危险源的控制措施包括制定管理制度、监督检查、应急预案、培训等。</w:t>
            </w:r>
          </w:p>
          <w:p>
            <w:pPr>
              <w:rPr>
                <w:b w:val="0"/>
                <w:bCs w:val="0"/>
              </w:rPr>
            </w:pPr>
          </w:p>
        </w:tc>
        <w:tc>
          <w:tcPr>
            <w:tcW w:w="1585" w:type="dxa"/>
          </w:tcPr>
          <w:p>
            <w:pPr>
              <w:rPr>
                <w:rFonts w:hint="default" w:eastAsia="宋体"/>
                <w:b w:val="0"/>
                <w:bCs w:val="0"/>
                <w:lang w:val="en-US" w:eastAsia="zh-CN"/>
              </w:rPr>
            </w:pPr>
            <w:r>
              <w:rPr>
                <w:rFonts w:hint="eastAsia"/>
                <w:b w:val="0"/>
                <w:bCs w:val="0"/>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b w:val="0"/>
                <w:bCs w:val="0"/>
              </w:rPr>
            </w:pPr>
            <w:r>
              <w:rPr>
                <w:rFonts w:ascii="Times New Roman" w:hAnsi="Times New Roman" w:eastAsia="宋体" w:cs="Lucida Sans"/>
                <w:b w:val="0"/>
                <w:bCs w:val="0"/>
                <w:szCs w:val="20"/>
              </w:rPr>
              <w:t>环境运行控制</w:t>
            </w:r>
          </w:p>
        </w:tc>
        <w:tc>
          <w:tcPr>
            <w:tcW w:w="960" w:type="dxa"/>
            <w:vAlign w:val="center"/>
          </w:tcPr>
          <w:p>
            <w:pPr>
              <w:rPr>
                <w:rFonts w:ascii="Times New Roman" w:hAnsi="Times New Roman" w:eastAsia="宋体" w:cs="Lucida Sans"/>
                <w:b w:val="0"/>
                <w:bCs w:val="0"/>
                <w:color w:val="auto"/>
                <w:szCs w:val="20"/>
              </w:rPr>
            </w:pPr>
            <w:r>
              <w:rPr>
                <w:rFonts w:hint="eastAsia" w:ascii="Times New Roman" w:hAnsi="Times New Roman" w:eastAsia="宋体" w:cs="Lucida Sans"/>
                <w:b w:val="0"/>
                <w:bCs w:val="0"/>
                <w:color w:val="auto"/>
                <w:szCs w:val="20"/>
              </w:rPr>
              <w:t>E</w:t>
            </w:r>
            <w:r>
              <w:rPr>
                <w:rFonts w:hint="eastAsia" w:cs="Lucida Sans"/>
                <w:b w:val="0"/>
                <w:bCs w:val="0"/>
                <w:color w:val="auto"/>
                <w:szCs w:val="20"/>
                <w:lang w:val="en-US" w:eastAsia="zh-CN"/>
              </w:rPr>
              <w:t>O</w:t>
            </w:r>
            <w:r>
              <w:rPr>
                <w:rFonts w:ascii="Times New Roman" w:hAnsi="Times New Roman" w:eastAsia="宋体" w:cs="Lucida Sans"/>
                <w:b w:val="0"/>
                <w:bCs w:val="0"/>
                <w:color w:val="auto"/>
                <w:szCs w:val="20"/>
              </w:rPr>
              <w:t>8.1</w:t>
            </w:r>
          </w:p>
          <w:p>
            <w:pPr>
              <w:rPr>
                <w:b w:val="0"/>
                <w:bCs w:val="0"/>
              </w:rPr>
            </w:pPr>
          </w:p>
        </w:tc>
        <w:tc>
          <w:tcPr>
            <w:tcW w:w="10004" w:type="dxa"/>
            <w:vAlign w:val="center"/>
          </w:tcPr>
          <w:p>
            <w:pPr>
              <w:rPr>
                <w:rFonts w:hint="eastAsia" w:ascii="Times New Roman" w:hAnsi="Times New Roman" w:eastAsia="宋体" w:cs="Lucida Sans"/>
                <w:b/>
                <w:color w:val="auto"/>
                <w:szCs w:val="20"/>
              </w:rPr>
            </w:pPr>
            <w:r>
              <w:rPr>
                <w:rFonts w:hint="eastAsia" w:ascii="Times New Roman" w:hAnsi="Times New Roman" w:eastAsia="宋体" w:cs="Lucida Sans"/>
                <w:b/>
                <w:color w:val="auto"/>
                <w:szCs w:val="20"/>
              </w:rPr>
              <w:t>运行控制</w:t>
            </w:r>
          </w:p>
          <w:p>
            <w:pPr>
              <w:pStyle w:val="2"/>
              <w:rPr>
                <w:rFonts w:hint="eastAsia" w:ascii="宋体" w:hAnsi="宋体" w:cs="宋体"/>
                <w:color w:val="auto"/>
                <w:kern w:val="0"/>
                <w:szCs w:val="21"/>
                <w:lang w:eastAsia="zh-CN"/>
              </w:rPr>
            </w:pPr>
            <w:r>
              <w:rPr>
                <w:rFonts w:hint="eastAsia" w:ascii="宋体" w:hAnsi="宋体" w:cs="宋体"/>
                <w:color w:val="auto"/>
                <w:kern w:val="0"/>
                <w:szCs w:val="21"/>
                <w:lang w:val="en-US" w:eastAsia="zh-CN"/>
              </w:rPr>
              <w:t>1、</w:t>
            </w:r>
            <w:r>
              <w:rPr>
                <w:rFonts w:hint="eastAsia" w:ascii="宋体" w:hAnsi="宋体" w:cs="宋体"/>
                <w:color w:val="auto"/>
                <w:kern w:val="0"/>
                <w:szCs w:val="21"/>
                <w:lang w:eastAsia="zh-CN"/>
              </w:rPr>
              <w:t>重要环境因素的控制，依据公司的相关规定：节能降耗控制程序、废弃物控制程序、大气污染防治控制程序、噪声控制程序、消防管理控制程序等；</w:t>
            </w:r>
          </w:p>
          <w:p>
            <w:pPr>
              <w:pStyle w:val="2"/>
              <w:rPr>
                <w:rFonts w:hint="eastAsia" w:ascii="宋体" w:hAnsi="宋体" w:cs="宋体"/>
                <w:color w:val="auto"/>
                <w:kern w:val="0"/>
                <w:szCs w:val="21"/>
                <w:lang w:eastAsia="zh-CN"/>
              </w:rPr>
            </w:pPr>
            <w:r>
              <w:rPr>
                <w:rFonts w:hint="eastAsia" w:ascii="宋体" w:hAnsi="宋体" w:cs="宋体"/>
                <w:color w:val="auto"/>
                <w:kern w:val="0"/>
                <w:szCs w:val="21"/>
                <w:lang w:val="en-US" w:eastAsia="zh-CN"/>
              </w:rPr>
              <w:t>1</w:t>
            </w:r>
            <w:r>
              <w:rPr>
                <w:rFonts w:hint="eastAsia" w:ascii="宋体" w:hAnsi="宋体" w:cs="宋体"/>
                <w:b/>
                <w:bCs w:val="0"/>
                <w:color w:val="auto"/>
                <w:kern w:val="0"/>
                <w:szCs w:val="21"/>
                <w:lang w:val="en-US" w:eastAsia="zh-CN"/>
              </w:rPr>
              <w:t>.</w:t>
            </w:r>
            <w:r>
              <w:rPr>
                <w:rFonts w:hint="eastAsia" w:ascii="宋体" w:hAnsi="宋体" w:cs="宋体"/>
                <w:b/>
                <w:bCs w:val="0"/>
                <w:color w:val="auto"/>
                <w:kern w:val="0"/>
                <w:szCs w:val="21"/>
                <w:lang w:eastAsia="zh-CN"/>
              </w:rPr>
              <w:t>废水控制</w:t>
            </w:r>
            <w:r>
              <w:rPr>
                <w:rFonts w:hint="eastAsia" w:ascii="宋体" w:hAnsi="宋体" w:cs="宋体"/>
                <w:color w:val="auto"/>
                <w:kern w:val="0"/>
                <w:szCs w:val="21"/>
                <w:lang w:eastAsia="zh-CN"/>
              </w:rPr>
              <w:t>：</w:t>
            </w:r>
          </w:p>
          <w:p>
            <w:pPr>
              <w:pStyle w:val="2"/>
              <w:rPr>
                <w:rFonts w:hint="eastAsia" w:ascii="宋体" w:hAnsi="宋体" w:cs="宋体"/>
                <w:color w:val="auto"/>
                <w:kern w:val="0"/>
                <w:szCs w:val="21"/>
                <w:lang w:eastAsia="zh-CN"/>
              </w:rPr>
            </w:pPr>
            <w:r>
              <w:rPr>
                <w:rFonts w:hint="eastAsia" w:ascii="宋体" w:hAnsi="宋体" w:cs="宋体"/>
                <w:color w:val="auto"/>
                <w:kern w:val="0"/>
                <w:szCs w:val="21"/>
                <w:lang w:val="en-US" w:eastAsia="zh-CN"/>
              </w:rPr>
              <w:t>公司生产不产生废水，</w:t>
            </w:r>
            <w:r>
              <w:rPr>
                <w:rFonts w:hint="eastAsia" w:ascii="宋体" w:hAnsi="宋体" w:cs="宋体"/>
                <w:color w:val="auto"/>
                <w:kern w:val="0"/>
                <w:szCs w:val="21"/>
                <w:lang w:eastAsia="zh-CN"/>
              </w:rPr>
              <w:t>职工日常生活用水：职工生活用水,</w:t>
            </w:r>
            <w:r>
              <w:rPr>
                <w:szCs w:val="21"/>
              </w:rPr>
              <w:t>项目运行期无生产废水产生，生活污水进入厂区内化粪池后，经化粪池处理后通过开发区污水管网排入天津市瑞兴污水处理厂集中处理</w:t>
            </w:r>
            <w:r>
              <w:rPr>
                <w:rFonts w:hint="eastAsia" w:ascii="宋体" w:hAnsi="宋体" w:cs="宋体"/>
                <w:color w:val="auto"/>
                <w:kern w:val="0"/>
                <w:szCs w:val="21"/>
                <w:lang w:eastAsia="zh-CN"/>
              </w:rPr>
              <w:t>。</w:t>
            </w:r>
          </w:p>
          <w:p>
            <w:pPr>
              <w:pStyle w:val="2"/>
              <w:rPr>
                <w:rFonts w:hint="eastAsia" w:ascii="宋体" w:hAnsi="宋体" w:cs="宋体"/>
                <w:color w:val="auto"/>
                <w:kern w:val="0"/>
                <w:szCs w:val="21"/>
                <w:lang w:eastAsia="zh-CN"/>
              </w:rPr>
            </w:pPr>
            <w:r>
              <w:rPr>
                <w:rFonts w:hint="eastAsia" w:ascii="宋体" w:hAnsi="宋体" w:cs="宋体"/>
                <w:color w:val="auto"/>
                <w:kern w:val="0"/>
                <w:szCs w:val="21"/>
                <w:lang w:val="en-US" w:eastAsia="zh-CN"/>
              </w:rPr>
              <w:t>2.</w:t>
            </w:r>
            <w:r>
              <w:rPr>
                <w:rFonts w:hint="eastAsia" w:ascii="宋体" w:hAnsi="宋体" w:cs="宋体"/>
                <w:b/>
                <w:bCs w:val="0"/>
                <w:color w:val="auto"/>
                <w:kern w:val="0"/>
                <w:szCs w:val="21"/>
                <w:lang w:eastAsia="zh-CN"/>
              </w:rPr>
              <w:t>噪声控制</w:t>
            </w:r>
            <w:r>
              <w:rPr>
                <w:rFonts w:hint="eastAsia" w:ascii="宋体" w:hAnsi="宋体" w:cs="宋体"/>
                <w:color w:val="auto"/>
                <w:kern w:val="0"/>
                <w:szCs w:val="21"/>
                <w:lang w:eastAsia="zh-CN"/>
              </w:rPr>
              <w:t>：</w:t>
            </w:r>
            <w:r>
              <w:rPr>
                <w:rFonts w:eastAsia="宋体"/>
                <w:szCs w:val="21"/>
              </w:rPr>
              <w:t>焊机、钻床、剪板机、切割机、抛丸机、空压机等生产设备运行时产生的噪声，</w:t>
            </w:r>
            <w:r>
              <w:rPr>
                <w:rFonts w:hint="eastAsia" w:ascii="宋体" w:hAnsi="宋体" w:cs="宋体"/>
                <w:color w:val="auto"/>
                <w:kern w:val="0"/>
                <w:szCs w:val="21"/>
                <w:lang w:eastAsia="zh-CN"/>
              </w:rPr>
              <w:t>等，生产设备在安装时就采取了减震处理，设备产生的噪音符合国标标准要求，同时，公司有规定，在办公区内禁止大声喧哗</w:t>
            </w:r>
          </w:p>
          <w:p>
            <w:pPr>
              <w:pStyle w:val="2"/>
              <w:rPr>
                <w:rFonts w:hint="eastAsia" w:ascii="宋体" w:hAnsi="宋体" w:cs="宋体"/>
                <w:b/>
                <w:bCs w:val="0"/>
                <w:color w:val="auto"/>
                <w:kern w:val="0"/>
                <w:szCs w:val="21"/>
                <w:lang w:eastAsia="zh-CN"/>
              </w:rPr>
            </w:pPr>
            <w:r>
              <w:rPr>
                <w:rFonts w:hint="eastAsia" w:ascii="宋体" w:hAnsi="宋体" w:cs="宋体"/>
                <w:b/>
                <w:bCs w:val="0"/>
                <w:color w:val="auto"/>
                <w:kern w:val="0"/>
                <w:szCs w:val="21"/>
                <w:lang w:val="en-US" w:eastAsia="zh-CN"/>
              </w:rPr>
              <w:t>3.</w:t>
            </w:r>
            <w:r>
              <w:rPr>
                <w:rFonts w:hint="eastAsia" w:ascii="宋体" w:hAnsi="宋体" w:cs="宋体"/>
                <w:b/>
                <w:bCs w:val="0"/>
                <w:color w:val="auto"/>
                <w:kern w:val="0"/>
                <w:szCs w:val="21"/>
                <w:lang w:eastAsia="zh-CN"/>
              </w:rPr>
              <w:t>废气控制</w:t>
            </w:r>
          </w:p>
          <w:p>
            <w:pPr>
              <w:pStyle w:val="5"/>
              <w:spacing w:line="360" w:lineRule="auto"/>
              <w:ind w:firstLine="480"/>
              <w:rPr>
                <w:rFonts w:hint="eastAsia" w:ascii="宋体" w:hAnsi="宋体" w:eastAsia="宋体" w:cs="宋体"/>
                <w:bCs/>
                <w:color w:val="auto"/>
                <w:spacing w:val="10"/>
                <w:kern w:val="0"/>
                <w:sz w:val="21"/>
                <w:szCs w:val="21"/>
                <w:lang w:val="en-US" w:eastAsia="zh-CN" w:bidi="ar-SA"/>
              </w:rPr>
            </w:pPr>
            <w:r>
              <w:rPr>
                <w:rFonts w:hint="eastAsia" w:ascii="宋体" w:hAnsi="宋体" w:eastAsia="宋体" w:cs="宋体"/>
                <w:bCs/>
                <w:color w:val="auto"/>
                <w:spacing w:val="10"/>
                <w:kern w:val="0"/>
                <w:sz w:val="21"/>
                <w:szCs w:val="21"/>
                <w:lang w:val="en-US" w:eastAsia="zh-CN" w:bidi="ar-SA"/>
              </w:rPr>
              <w:t>①焊接烟尘：焊接烟尘：分别经各自车间滤筒式除尘器（该除尘器的除尘效率＞99.8%）净化处理后沿15m高排气筒有组织排放，未被收集的少量焊接烟尘通过车间通风换风以无组织形式排放。</w:t>
            </w:r>
          </w:p>
          <w:p>
            <w:pPr>
              <w:pStyle w:val="2"/>
              <w:rPr>
                <w:rFonts w:hint="eastAsia" w:ascii="宋体" w:hAnsi="宋体" w:cs="宋体"/>
                <w:color w:val="auto"/>
                <w:kern w:val="0"/>
                <w:szCs w:val="21"/>
                <w:lang w:eastAsia="zh-CN"/>
              </w:rPr>
            </w:pPr>
            <w:r>
              <w:rPr>
                <w:rFonts w:hint="eastAsia" w:ascii="宋体" w:hAnsi="宋体" w:cs="宋体"/>
                <w:color w:val="auto"/>
                <w:kern w:val="0"/>
                <w:szCs w:val="21"/>
                <w:lang w:val="en-US" w:eastAsia="zh-CN"/>
              </w:rPr>
              <w:t>②</w:t>
            </w:r>
            <w:r>
              <w:rPr>
                <w:rFonts w:hint="eastAsia" w:ascii="宋体" w:hAnsi="宋体" w:cs="宋体"/>
                <w:color w:val="auto"/>
                <w:kern w:val="0"/>
                <w:szCs w:val="21"/>
                <w:lang w:eastAsia="zh-CN"/>
              </w:rPr>
              <w:t>.抛丸粉尘：抛丸除锈过程中有粉尘产生</w:t>
            </w:r>
            <w:r>
              <w:rPr>
                <w:rFonts w:hint="eastAsia" w:ascii="宋体" w:hAnsi="宋体" w:cs="宋体"/>
                <w:color w:val="auto"/>
                <w:kern w:val="0"/>
                <w:szCs w:val="21"/>
                <w:lang w:val="en-US" w:eastAsia="zh-CN"/>
              </w:rPr>
              <w:t>,</w:t>
            </w:r>
            <w:r>
              <w:rPr>
                <w:rFonts w:hint="eastAsia" w:ascii="宋体" w:hAnsi="宋体" w:cs="宋体"/>
                <w:color w:val="auto"/>
                <w:kern w:val="0"/>
                <w:szCs w:val="21"/>
                <w:lang w:eastAsia="zh-CN"/>
              </w:rPr>
              <w:t>经引风机引至旋风+脉冲袋式除尘器（该除尘器的除尘效率＞99%）除尘后排放经15米高排气筒排放有组织排放，未被收集的少量粉尘通过车间通风换风以无组织形式排放。</w:t>
            </w:r>
          </w:p>
          <w:p>
            <w:pPr>
              <w:pStyle w:val="2"/>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远程</w:t>
            </w:r>
            <w:r>
              <w:rPr>
                <w:rFonts w:hint="eastAsia" w:ascii="宋体" w:hAnsi="宋体" w:cs="宋体"/>
                <w:color w:val="auto"/>
                <w:kern w:val="0"/>
                <w:szCs w:val="21"/>
                <w:lang w:eastAsia="zh-CN"/>
              </w:rPr>
              <w:t>观察，</w:t>
            </w:r>
            <w:r>
              <w:rPr>
                <w:rFonts w:hint="eastAsia" w:ascii="宋体" w:hAnsi="宋体" w:cs="宋体"/>
                <w:color w:val="auto"/>
                <w:kern w:val="0"/>
                <w:szCs w:val="21"/>
                <w:lang w:val="en-US" w:eastAsia="zh-CN"/>
              </w:rPr>
              <w:t>废气控制符合要求，</w:t>
            </w:r>
            <w:r>
              <w:rPr>
                <w:rFonts w:hint="eastAsia" w:ascii="宋体" w:hAnsi="宋体" w:cs="宋体"/>
                <w:color w:val="auto"/>
                <w:kern w:val="0"/>
                <w:szCs w:val="21"/>
                <w:lang w:eastAsia="zh-CN"/>
              </w:rPr>
              <w:t>提供环评</w:t>
            </w:r>
            <w:r>
              <w:rPr>
                <w:rFonts w:hint="eastAsia" w:ascii="宋体" w:hAnsi="宋体" w:cs="宋体"/>
                <w:color w:val="auto"/>
                <w:kern w:val="0"/>
                <w:szCs w:val="21"/>
                <w:lang w:val="en-US" w:eastAsia="zh-CN"/>
              </w:rPr>
              <w:t>年环境监测报告。见附件</w:t>
            </w:r>
          </w:p>
          <w:p>
            <w:pPr>
              <w:pStyle w:val="2"/>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其废气处置设备如下图：</w:t>
            </w:r>
          </w:p>
          <w:p>
            <w:pPr>
              <w:pStyle w:val="2"/>
              <w:rPr>
                <w:rFonts w:hint="default" w:ascii="宋体" w:hAnsi="宋体" w:cs="宋体"/>
                <w:color w:val="auto"/>
                <w:kern w:val="0"/>
                <w:szCs w:val="21"/>
                <w:lang w:val="en-US" w:eastAsia="zh-CN"/>
              </w:rPr>
            </w:pPr>
            <w:r>
              <w:rPr>
                <w:rFonts w:hint="default" w:ascii="宋体" w:hAnsi="宋体" w:cs="宋体"/>
                <w:color w:val="auto"/>
                <w:kern w:val="0"/>
                <w:szCs w:val="21"/>
                <w:lang w:val="en-US" w:eastAsia="zh-CN"/>
              </w:rPr>
              <w:drawing>
                <wp:inline distT="0" distB="0" distL="114300" distR="114300">
                  <wp:extent cx="2491105" cy="3796030"/>
                  <wp:effectExtent l="0" t="0" r="10795" b="1270"/>
                  <wp:docPr id="8" name="图片 8" descr="微信图片_2020111410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1114105955"/>
                          <pic:cNvPicPr>
                            <a:picLocks noChangeAspect="1"/>
                          </pic:cNvPicPr>
                        </pic:nvPicPr>
                        <pic:blipFill>
                          <a:blip r:embed="rId6"/>
                          <a:stretch>
                            <a:fillRect/>
                          </a:stretch>
                        </pic:blipFill>
                        <pic:spPr>
                          <a:xfrm>
                            <a:off x="0" y="0"/>
                            <a:ext cx="2491105" cy="3796030"/>
                          </a:xfrm>
                          <a:prstGeom prst="rect">
                            <a:avLst/>
                          </a:prstGeom>
                        </pic:spPr>
                      </pic:pic>
                    </a:graphicData>
                  </a:graphic>
                </wp:inline>
              </w:drawing>
            </w:r>
            <w:r>
              <w:drawing>
                <wp:inline distT="0" distB="0" distL="114300" distR="114300">
                  <wp:extent cx="2438400" cy="3829050"/>
                  <wp:effectExtent l="0" t="0" r="0"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2438400" cy="3829050"/>
                          </a:xfrm>
                          <a:prstGeom prst="rect">
                            <a:avLst/>
                          </a:prstGeom>
                          <a:noFill/>
                          <a:ln>
                            <a:noFill/>
                          </a:ln>
                        </pic:spPr>
                      </pic:pic>
                    </a:graphicData>
                  </a:graphic>
                </wp:inline>
              </w:drawing>
            </w:r>
          </w:p>
          <w:p>
            <w:pPr>
              <w:pStyle w:val="2"/>
              <w:rPr>
                <w:rFonts w:hint="eastAsia" w:ascii="宋体" w:hAnsi="宋体" w:cs="宋体"/>
                <w:color w:val="auto"/>
                <w:kern w:val="0"/>
                <w:szCs w:val="21"/>
                <w:lang w:eastAsia="zh-CN"/>
              </w:rPr>
            </w:pPr>
            <w:r>
              <w:rPr>
                <w:rFonts w:hint="eastAsia" w:ascii="宋体" w:hAnsi="宋体" w:cs="宋体"/>
                <w:color w:val="auto"/>
                <w:kern w:val="0"/>
                <w:szCs w:val="21"/>
                <w:lang w:val="en-US" w:eastAsia="zh-CN"/>
              </w:rPr>
              <w:t>4、</w:t>
            </w:r>
            <w:r>
              <w:rPr>
                <w:rFonts w:hint="eastAsia" w:ascii="宋体" w:hAnsi="宋体" w:cs="宋体"/>
                <w:color w:val="auto"/>
                <w:kern w:val="0"/>
                <w:szCs w:val="21"/>
                <w:lang w:eastAsia="zh-CN"/>
              </w:rPr>
              <w:t>固废控制：</w:t>
            </w:r>
          </w:p>
          <w:p>
            <w:pPr>
              <w:pStyle w:val="2"/>
              <w:rPr>
                <w:rFonts w:hint="eastAsia" w:ascii="宋体" w:hAnsi="宋体" w:cs="宋体"/>
                <w:color w:val="auto"/>
                <w:kern w:val="0"/>
                <w:szCs w:val="21"/>
                <w:lang w:eastAsia="zh-CN"/>
              </w:rPr>
            </w:pPr>
            <w:r>
              <w:rPr>
                <w:rFonts w:hint="eastAsia" w:ascii="宋体" w:hAnsi="宋体" w:cs="宋体"/>
                <w:color w:val="auto"/>
                <w:kern w:val="0"/>
                <w:szCs w:val="21"/>
                <w:lang w:eastAsia="zh-CN"/>
              </w:rPr>
              <w:t>固废排放：办公垃圾交环卫部门处理</w:t>
            </w:r>
          </w:p>
          <w:p>
            <w:pPr>
              <w:pStyle w:val="2"/>
              <w:rPr>
                <w:rFonts w:hint="eastAsia" w:ascii="宋体" w:hAnsi="宋体" w:cs="宋体"/>
                <w:color w:val="auto"/>
                <w:kern w:val="0"/>
                <w:szCs w:val="21"/>
                <w:lang w:eastAsia="zh-CN"/>
              </w:rPr>
            </w:pPr>
            <w:r>
              <w:rPr>
                <w:rFonts w:hint="eastAsia" w:ascii="宋体" w:hAnsi="宋体" w:cs="宋体"/>
                <w:color w:val="auto"/>
                <w:kern w:val="0"/>
                <w:szCs w:val="21"/>
                <w:lang w:eastAsia="zh-CN"/>
              </w:rPr>
              <w:t>硒鼓墨盒交厂家回收</w:t>
            </w:r>
          </w:p>
          <w:p>
            <w:pPr>
              <w:pStyle w:val="2"/>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A</w:t>
            </w:r>
            <w:r>
              <w:rPr>
                <w:rFonts w:hint="eastAsia" w:ascii="宋体" w:hAnsi="宋体" w:cs="宋体"/>
                <w:color w:val="auto"/>
                <w:kern w:val="0"/>
                <w:szCs w:val="21"/>
                <w:lang w:eastAsia="zh-CN"/>
              </w:rPr>
              <w:t>生产固废</w:t>
            </w:r>
            <w:r>
              <w:rPr>
                <w:rFonts w:hint="eastAsia" w:ascii="宋体" w:hAnsi="宋体" w:cs="宋体"/>
                <w:color w:val="auto"/>
                <w:kern w:val="0"/>
                <w:szCs w:val="21"/>
                <w:lang w:val="en-US" w:eastAsia="zh-CN"/>
              </w:rPr>
              <w:t>:金属边角料、金属削，生产厂家回收</w:t>
            </w:r>
          </w:p>
          <w:p>
            <w:pPr>
              <w:pStyle w:val="2"/>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B设置危废暂存间，产生的废机油等暂存于危废暂存处，然后委托具有危险废物处理资质的公司清运、处置，不随意乱扔。提供有危废处置协议，见附件 查危废间如下，</w:t>
            </w:r>
          </w:p>
          <w:p>
            <w:pPr>
              <w:pStyle w:val="2"/>
              <w:rPr>
                <w:rFonts w:hint="eastAsia" w:ascii="宋体" w:hAnsi="宋体" w:cs="宋体"/>
                <w:color w:val="auto"/>
                <w:kern w:val="0"/>
                <w:szCs w:val="21"/>
                <w:lang w:val="en-US" w:eastAsia="zh-CN"/>
              </w:rPr>
            </w:pPr>
            <w:r>
              <w:drawing>
                <wp:inline distT="0" distB="0" distL="114300" distR="114300">
                  <wp:extent cx="3930650" cy="2146935"/>
                  <wp:effectExtent l="0" t="0" r="6350" b="1206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3930650" cy="2146935"/>
                          </a:xfrm>
                          <a:prstGeom prst="rect">
                            <a:avLst/>
                          </a:prstGeom>
                          <a:noFill/>
                          <a:ln>
                            <a:noFill/>
                          </a:ln>
                        </pic:spPr>
                      </pic:pic>
                    </a:graphicData>
                  </a:graphic>
                </wp:inline>
              </w:drawing>
            </w:r>
          </w:p>
          <w:p>
            <w:pPr>
              <w:pStyle w:val="2"/>
              <w:rPr>
                <w:rFonts w:hint="eastAsia" w:ascii="宋体" w:hAnsi="宋体" w:cs="宋体"/>
                <w:color w:val="auto"/>
                <w:kern w:val="0"/>
                <w:szCs w:val="21"/>
                <w:lang w:val="en-US" w:eastAsia="zh-CN"/>
              </w:rPr>
            </w:pPr>
          </w:p>
          <w:p>
            <w:pPr>
              <w:pStyle w:val="2"/>
              <w:rPr>
                <w:rFonts w:hint="eastAsia" w:ascii="宋体" w:hAnsi="宋体" w:cs="宋体"/>
                <w:color w:val="auto"/>
                <w:kern w:val="0"/>
                <w:szCs w:val="21"/>
                <w:lang w:eastAsia="zh-CN"/>
              </w:rPr>
            </w:pPr>
            <w:r>
              <w:rPr>
                <w:rFonts w:hint="eastAsia" w:ascii="宋体" w:hAnsi="宋体" w:cs="宋体"/>
                <w:color w:val="auto"/>
                <w:kern w:val="0"/>
                <w:szCs w:val="21"/>
                <w:lang w:val="en-US" w:eastAsia="zh-CN"/>
              </w:rPr>
              <w:t>5、</w:t>
            </w:r>
            <w:r>
              <w:rPr>
                <w:rFonts w:hint="eastAsia" w:ascii="宋体" w:hAnsi="宋体" w:cs="宋体"/>
                <w:color w:val="auto"/>
                <w:kern w:val="0"/>
                <w:szCs w:val="21"/>
                <w:lang w:eastAsia="zh-CN"/>
              </w:rPr>
              <w:t>能资源管理：公司规定人走灯灭，人走关水等节能节水措施，并互相监督</w:t>
            </w:r>
          </w:p>
          <w:p>
            <w:pPr>
              <w:pStyle w:val="2"/>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6、火灾事故预防：公司配备有灭火器等消防设施，有应急预案，相关人员经过培训。</w:t>
            </w:r>
          </w:p>
          <w:p>
            <w:pPr>
              <w:pStyle w:val="2"/>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7、触电：公司专人负责对电箱进行检查和维保，电气线路防护，措施到位，但个别地方存在安全隐患。</w:t>
            </w:r>
          </w:p>
          <w:p>
            <w:pPr>
              <w:pStyle w:val="2"/>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8、机械伤害：车间悬挂操作规程，人员经过培训，设备定期保养</w:t>
            </w:r>
          </w:p>
          <w:p>
            <w:pPr>
              <w:pStyle w:val="2"/>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9、特种设备：提供有行车检验报告，见附件</w:t>
            </w:r>
          </w:p>
          <w:p>
            <w:pPr>
              <w:pStyle w:val="2"/>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9）提供人员社保缴费证明</w:t>
            </w:r>
          </w:p>
          <w:p>
            <w:pPr>
              <w:pStyle w:val="2"/>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公司制定了安全生产责任属，制定了安全目标考核制定，责任书均有生产人员签字</w:t>
            </w:r>
          </w:p>
          <w:p>
            <w:pPr>
              <w:pStyle w:val="2"/>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10、提供员工体检：检验报告，见附件</w:t>
            </w:r>
          </w:p>
          <w:p>
            <w:pPr>
              <w:pStyle w:val="2"/>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体检结果：健康，无职业病等相关疾病</w:t>
            </w:r>
          </w:p>
          <w:p>
            <w:pPr>
              <w:pStyle w:val="2"/>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11、提供员工个人防护清单</w:t>
            </w:r>
          </w:p>
          <w:p>
            <w:pPr>
              <w:pStyle w:val="2"/>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发放劳保用品：车间：手套 10付 领用人：</w:t>
            </w:r>
            <w:r>
              <w:rPr>
                <w:rFonts w:hint="eastAsia"/>
                <w:lang w:eastAsia="zh-CN"/>
              </w:rPr>
              <w:t>周路</w:t>
            </w:r>
            <w:r>
              <w:rPr>
                <w:rFonts w:hint="eastAsia" w:ascii="宋体" w:hAnsi="宋体" w:cs="宋体"/>
                <w:color w:val="auto"/>
                <w:kern w:val="0"/>
                <w:szCs w:val="21"/>
                <w:lang w:val="en-US" w:eastAsia="zh-CN"/>
              </w:rPr>
              <w:t xml:space="preserve"> 2020.7.16</w:t>
            </w:r>
          </w:p>
          <w:p>
            <w:pPr>
              <w:pStyle w:val="2"/>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 xml:space="preserve">               车间： 口罩 8个领用人：</w:t>
            </w:r>
            <w:r>
              <w:rPr>
                <w:rFonts w:hint="eastAsia"/>
                <w:lang w:eastAsia="zh-CN"/>
              </w:rPr>
              <w:t>周路</w:t>
            </w:r>
            <w:r>
              <w:rPr>
                <w:rFonts w:hint="eastAsia" w:ascii="宋体" w:hAnsi="宋体" w:cs="宋体"/>
                <w:color w:val="auto"/>
                <w:kern w:val="0"/>
                <w:szCs w:val="21"/>
                <w:lang w:val="en-US" w:eastAsia="zh-CN"/>
              </w:rPr>
              <w:t xml:space="preserve"> 220.2.20</w:t>
            </w:r>
          </w:p>
          <w:p>
            <w:pPr>
              <w:ind w:firstLine="210" w:firstLineChars="100"/>
              <w:rPr>
                <w:rFonts w:asciiTheme="minorEastAsia" w:hAnsiTheme="minorEastAsia" w:eastAsiaTheme="minorEastAsia"/>
                <w:color w:val="auto"/>
                <w:szCs w:val="21"/>
              </w:rPr>
            </w:pPr>
            <w:r>
              <w:rPr>
                <w:rFonts w:hint="eastAsia" w:ascii="宋体" w:hAnsi="宋体" w:cs="宋体"/>
                <w:color w:val="auto"/>
                <w:kern w:val="0"/>
                <w:szCs w:val="21"/>
                <w:lang w:val="en-US" w:eastAsia="zh-CN"/>
              </w:rPr>
              <w:t>12：</w:t>
            </w:r>
            <w:r>
              <w:rPr>
                <w:rFonts w:hint="eastAsia" w:asciiTheme="minorEastAsia" w:hAnsiTheme="minorEastAsia" w:eastAsiaTheme="minorEastAsia"/>
                <w:color w:val="auto"/>
                <w:szCs w:val="21"/>
              </w:rPr>
              <w:t>意外伤害控制</w:t>
            </w:r>
          </w:p>
          <w:p>
            <w:pPr>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 xml:space="preserve">   驾驶员要求按管理制度进行驾驶汽车，不超速、不开斗气车、不酒后驾车等，每月进行安全培训；定期对汽车进行安全检查，对查出的问题和隐患，及时进行整改解决，确保安全。</w:t>
            </w:r>
          </w:p>
          <w:p>
            <w:pPr>
              <w:pStyle w:val="2"/>
              <w:rPr>
                <w:rFonts w:hint="eastAsia" w:cs="Times New Roman" w:asciiTheme="minorEastAsia" w:hAnsiTheme="minorEastAsia" w:eastAsiaTheme="minorEastAsia"/>
                <w:bCs w:val="0"/>
                <w:color w:val="auto"/>
                <w:spacing w:val="0"/>
                <w:kern w:val="2"/>
                <w:sz w:val="21"/>
                <w:szCs w:val="21"/>
                <w:lang w:val="en-GB" w:eastAsia="zh-CN" w:bidi="ar-SA"/>
              </w:rPr>
            </w:pPr>
            <w:r>
              <w:rPr>
                <w:rFonts w:hint="eastAsia" w:cs="Times New Roman" w:asciiTheme="minorEastAsia" w:hAnsiTheme="minorEastAsia" w:eastAsiaTheme="minorEastAsia"/>
                <w:bCs w:val="0"/>
                <w:color w:val="auto"/>
                <w:spacing w:val="0"/>
                <w:kern w:val="2"/>
                <w:sz w:val="21"/>
                <w:szCs w:val="21"/>
                <w:lang w:val="en-US" w:eastAsia="zh-CN" w:bidi="ar-SA"/>
              </w:rPr>
              <w:t>13.远程</w:t>
            </w:r>
            <w:r>
              <w:rPr>
                <w:rFonts w:hint="eastAsia" w:cs="Times New Roman" w:asciiTheme="minorEastAsia" w:hAnsiTheme="minorEastAsia" w:eastAsiaTheme="minorEastAsia"/>
                <w:bCs w:val="0"/>
                <w:color w:val="auto"/>
                <w:spacing w:val="0"/>
                <w:kern w:val="2"/>
                <w:sz w:val="21"/>
                <w:szCs w:val="21"/>
                <w:lang w:val="en-GB" w:eastAsia="zh-CN" w:bidi="ar-SA"/>
              </w:rPr>
              <w:t>查看</w:t>
            </w:r>
            <w:r>
              <w:rPr>
                <w:rFonts w:hint="eastAsia" w:cs="Times New Roman" w:asciiTheme="minorEastAsia" w:hAnsiTheme="minorEastAsia" w:eastAsiaTheme="minorEastAsia"/>
                <w:bCs w:val="0"/>
                <w:color w:val="auto"/>
                <w:spacing w:val="0"/>
                <w:kern w:val="2"/>
                <w:sz w:val="21"/>
                <w:szCs w:val="21"/>
                <w:lang w:val="en-US" w:eastAsia="zh-CN" w:bidi="ar-SA"/>
              </w:rPr>
              <w:t>生产</w:t>
            </w:r>
            <w:r>
              <w:rPr>
                <w:rFonts w:hint="eastAsia" w:cs="Times New Roman" w:asciiTheme="minorEastAsia" w:hAnsiTheme="minorEastAsia" w:eastAsiaTheme="minorEastAsia"/>
                <w:bCs w:val="0"/>
                <w:color w:val="auto"/>
                <w:spacing w:val="0"/>
                <w:kern w:val="2"/>
                <w:sz w:val="21"/>
                <w:szCs w:val="21"/>
                <w:lang w:val="en-GB" w:eastAsia="zh-CN" w:bidi="ar-SA"/>
              </w:rPr>
              <w:t>区域，整洁、光线充足、室内空气良好、设备安全状态良好，教育员工正确使用办公设备，现场用电基本规范，无乱拉线现象，防止火灾发生。</w:t>
            </w:r>
          </w:p>
          <w:p>
            <w:pPr>
              <w:pStyle w:val="2"/>
              <w:rPr>
                <w:rFonts w:hint="eastAsia" w:cs="Times New Roman" w:asciiTheme="minorEastAsia" w:hAnsiTheme="minorEastAsia" w:eastAsiaTheme="minorEastAsia"/>
                <w:bCs w:val="0"/>
                <w:color w:val="auto"/>
                <w:spacing w:val="0"/>
                <w:kern w:val="2"/>
                <w:sz w:val="21"/>
                <w:szCs w:val="21"/>
                <w:lang w:val="en-GB" w:eastAsia="zh-CN" w:bidi="ar-SA"/>
              </w:rPr>
            </w:pPr>
            <w:r>
              <w:rPr>
                <w:rFonts w:hint="eastAsia" w:cs="Times New Roman" w:asciiTheme="minorEastAsia" w:hAnsiTheme="minorEastAsia" w:eastAsiaTheme="minorEastAsia"/>
                <w:bCs w:val="0"/>
                <w:color w:val="auto"/>
                <w:spacing w:val="0"/>
                <w:kern w:val="2"/>
                <w:sz w:val="21"/>
                <w:szCs w:val="21"/>
                <w:lang w:val="en-US" w:eastAsia="zh-CN" w:bidi="ar-SA"/>
              </w:rPr>
              <w:t>14</w:t>
            </w:r>
            <w:r>
              <w:rPr>
                <w:rFonts w:hint="eastAsia" w:cs="Times New Roman" w:asciiTheme="minorEastAsia" w:hAnsiTheme="minorEastAsia" w:eastAsiaTheme="minorEastAsia"/>
                <w:bCs w:val="0"/>
                <w:color w:val="auto"/>
                <w:spacing w:val="0"/>
                <w:kern w:val="2"/>
                <w:sz w:val="21"/>
                <w:szCs w:val="21"/>
                <w:lang w:val="en-GB" w:eastAsia="zh-CN" w:bidi="ar-SA"/>
              </w:rPr>
              <w:t>、相关方施加影响：公司能够控制或能够施加影响的相关方有顾客等。提供了“致相关方的公开信”，将公司的环境/安全控制要求发放到了所有相关方</w:t>
            </w:r>
            <w:r>
              <w:rPr>
                <w:rFonts w:hint="eastAsia" w:cs="Times New Roman" w:asciiTheme="minorEastAsia" w:hAnsiTheme="minorEastAsia" w:eastAsiaTheme="minorEastAsia"/>
                <w:bCs w:val="0"/>
                <w:color w:val="auto"/>
                <w:spacing w:val="0"/>
                <w:kern w:val="2"/>
                <w:sz w:val="21"/>
                <w:szCs w:val="21"/>
                <w:lang w:val="en-US" w:eastAsia="zh-CN" w:bidi="ar-SA"/>
              </w:rPr>
              <w:t>:</w:t>
            </w:r>
            <w:r>
              <w:rPr>
                <w:rFonts w:hint="eastAsia" w:cs="Times New Roman" w:asciiTheme="minorEastAsia" w:hAnsiTheme="minorEastAsia" w:eastAsiaTheme="minorEastAsia"/>
                <w:bCs w:val="0"/>
                <w:color w:val="auto"/>
                <w:spacing w:val="0"/>
                <w:kern w:val="2"/>
                <w:sz w:val="21"/>
                <w:szCs w:val="21"/>
                <w:lang w:val="en-GB" w:eastAsia="zh-CN" w:bidi="ar-SA"/>
              </w:rPr>
              <w:t>运输公司</w:t>
            </w:r>
            <w:r>
              <w:rPr>
                <w:rFonts w:hint="eastAsia" w:cs="Times New Roman" w:asciiTheme="minorEastAsia" w:hAnsiTheme="minorEastAsia" w:eastAsiaTheme="minorEastAsia"/>
                <w:bCs w:val="0"/>
                <w:color w:val="auto"/>
                <w:spacing w:val="0"/>
                <w:kern w:val="2"/>
                <w:sz w:val="21"/>
                <w:szCs w:val="21"/>
                <w:lang w:val="en-US" w:eastAsia="zh-CN" w:bidi="ar-SA"/>
              </w:rPr>
              <w:t>\供应商\</w:t>
            </w:r>
            <w:r>
              <w:rPr>
                <w:rFonts w:hint="eastAsia" w:cs="Times New Roman" w:asciiTheme="minorEastAsia" w:hAnsiTheme="minorEastAsia" w:eastAsiaTheme="minorEastAsia"/>
                <w:bCs w:val="0"/>
                <w:color w:val="auto"/>
                <w:spacing w:val="0"/>
                <w:kern w:val="2"/>
                <w:sz w:val="21"/>
                <w:szCs w:val="21"/>
                <w:lang w:val="en-GB" w:eastAsia="zh-CN" w:bidi="ar-SA"/>
              </w:rPr>
              <w:t>外来员工等， 组织对进入场所内的供方送货员、求职及培训人员视情况由安保人员或受访人提醒、签定安全协议等方式，告知相关遵守相应的运行准则，以防止外来人员受到人身伤害或职业健康安危害</w:t>
            </w:r>
          </w:p>
          <w:p>
            <w:pPr>
              <w:pStyle w:val="2"/>
              <w:rPr>
                <w:rFonts w:hint="eastAsia" w:cs="Times New Roman" w:asciiTheme="minorEastAsia" w:hAnsiTheme="minorEastAsia" w:eastAsiaTheme="minorEastAsia"/>
                <w:bCs w:val="0"/>
                <w:color w:val="auto"/>
                <w:spacing w:val="0"/>
                <w:kern w:val="2"/>
                <w:sz w:val="21"/>
                <w:szCs w:val="21"/>
                <w:lang w:val="en-US" w:eastAsia="zh-CN" w:bidi="ar-SA"/>
              </w:rPr>
            </w:pPr>
            <w:r>
              <w:rPr>
                <w:rFonts w:hint="eastAsia" w:cs="Times New Roman" w:asciiTheme="minorEastAsia" w:hAnsiTheme="minorEastAsia" w:eastAsiaTheme="minorEastAsia"/>
                <w:bCs w:val="0"/>
                <w:color w:val="auto"/>
                <w:spacing w:val="0"/>
                <w:kern w:val="2"/>
                <w:sz w:val="21"/>
                <w:szCs w:val="21"/>
                <w:lang w:val="en-US" w:eastAsia="zh-CN" w:bidi="ar-SA"/>
              </w:rPr>
              <w:t>15、新冠疫情期间，组织</w:t>
            </w:r>
            <w:r>
              <w:rPr>
                <w:rFonts w:hint="eastAsia" w:cs="Times New Roman" w:asciiTheme="minorEastAsia" w:hAnsiTheme="minorEastAsia" w:eastAsiaTheme="minorEastAsia"/>
                <w:bCs w:val="0"/>
                <w:color w:val="auto"/>
                <w:spacing w:val="0"/>
                <w:kern w:val="2"/>
                <w:sz w:val="21"/>
                <w:szCs w:val="21"/>
                <w:lang w:val="en-GB" w:eastAsia="zh-CN" w:bidi="ar-SA"/>
              </w:rPr>
              <w:t>策划了《</w:t>
            </w:r>
            <w:r>
              <w:rPr>
                <w:rFonts w:hint="eastAsia" w:cs="Times New Roman" w:asciiTheme="minorEastAsia" w:hAnsiTheme="minorEastAsia" w:eastAsiaTheme="minorEastAsia"/>
                <w:bCs w:val="0"/>
                <w:color w:val="auto"/>
                <w:spacing w:val="0"/>
                <w:kern w:val="2"/>
                <w:sz w:val="21"/>
                <w:szCs w:val="21"/>
                <w:lang w:val="en-US" w:eastAsia="zh-CN" w:bidi="ar-SA"/>
              </w:rPr>
              <w:t>疫情防控应急工作预案》，对疫情期间的疫情防控物资的发放、人员的管控、每日的人员体温检测、环境的消毒等进行了策划</w:t>
            </w:r>
          </w:p>
          <w:p>
            <w:pPr>
              <w:pStyle w:val="2"/>
              <w:rPr>
                <w:rFonts w:hint="eastAsia" w:cs="Times New Roman" w:asciiTheme="minorEastAsia" w:hAnsiTheme="minorEastAsia" w:eastAsiaTheme="minorEastAsia"/>
                <w:bCs w:val="0"/>
                <w:color w:val="auto"/>
                <w:spacing w:val="0"/>
                <w:kern w:val="2"/>
                <w:sz w:val="21"/>
                <w:szCs w:val="21"/>
                <w:lang w:val="en-US" w:eastAsia="zh-CN" w:bidi="ar-SA"/>
              </w:rPr>
            </w:pPr>
          </w:p>
          <w:p>
            <w:pPr>
              <w:spacing w:before="120" w:line="160" w:lineRule="exact"/>
              <w:rPr>
                <w:rFonts w:hint="default" w:ascii="方正仿宋简体" w:eastAsia="方正仿宋简体"/>
                <w:b/>
                <w:color w:val="FF0000"/>
                <w:lang w:val="en-US" w:eastAsia="zh-CN"/>
              </w:rPr>
            </w:pPr>
            <w:r>
              <w:rPr>
                <w:rFonts w:hint="eastAsia" w:ascii="方正仿宋简体" w:eastAsia="方正仿宋简体"/>
                <w:b/>
                <w:color w:val="FF0000"/>
                <w:lang w:eastAsia="zh-CN"/>
              </w:rPr>
              <w:t>查</w:t>
            </w:r>
            <w:r>
              <w:rPr>
                <w:rFonts w:hint="eastAsia" w:ascii="方正仿宋简体" w:eastAsia="方正仿宋简体"/>
                <w:b/>
                <w:color w:val="FF0000"/>
                <w:lang w:val="en-US" w:eastAsia="zh-CN"/>
              </w:rPr>
              <w:t>生产部储物仓库</w:t>
            </w:r>
            <w:r>
              <w:rPr>
                <w:rFonts w:hint="eastAsia" w:ascii="方正仿宋简体" w:eastAsia="方正仿宋简体"/>
                <w:b/>
                <w:color w:val="FF0000"/>
                <w:lang w:eastAsia="zh-CN"/>
              </w:rPr>
              <w:t>，</w:t>
            </w:r>
            <w:r>
              <w:rPr>
                <w:rFonts w:hint="eastAsia" w:ascii="方正仿宋简体" w:eastAsia="方正仿宋简体"/>
                <w:b/>
                <w:color w:val="FF0000"/>
                <w:lang w:val="en-US" w:eastAsia="zh-CN"/>
              </w:rPr>
              <w:t>仓库没有张贴“严禁烟火、闲人免进”的警示标识</w:t>
            </w:r>
            <w:r>
              <w:rPr>
                <w:rFonts w:hint="eastAsia" w:ascii="方正仿宋简体" w:eastAsia="方正仿宋简体"/>
                <w:b/>
                <w:color w:val="FF0000"/>
                <w:lang w:eastAsia="zh-CN"/>
              </w:rPr>
              <w:t>，</w:t>
            </w:r>
            <w:r>
              <w:rPr>
                <w:rFonts w:hint="eastAsia" w:ascii="方正仿宋简体" w:eastAsia="方正仿宋简体"/>
                <w:b/>
                <w:color w:val="FF0000"/>
                <w:lang w:val="en-US" w:eastAsia="zh-CN"/>
              </w:rPr>
              <w:t>不符合</w:t>
            </w:r>
          </w:p>
          <w:p>
            <w:pPr>
              <w:pStyle w:val="2"/>
              <w:rPr>
                <w:rFonts w:hint="eastAsia" w:ascii="宋体" w:hAnsi="宋体" w:cs="宋体"/>
                <w:color w:val="auto"/>
                <w:kern w:val="0"/>
                <w:szCs w:val="21"/>
                <w:lang w:val="en-US" w:eastAsia="zh-CN"/>
              </w:rPr>
            </w:pPr>
            <w:r>
              <w:drawing>
                <wp:inline distT="0" distB="0" distL="114300" distR="114300">
                  <wp:extent cx="2451100" cy="2178685"/>
                  <wp:effectExtent l="0" t="0" r="0" b="571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tretch>
                            <a:fillRect/>
                          </a:stretch>
                        </pic:blipFill>
                        <pic:spPr>
                          <a:xfrm>
                            <a:off x="0" y="0"/>
                            <a:ext cx="2451100" cy="2178685"/>
                          </a:xfrm>
                          <a:prstGeom prst="rect">
                            <a:avLst/>
                          </a:prstGeom>
                          <a:noFill/>
                          <a:ln>
                            <a:noFill/>
                          </a:ln>
                        </pic:spPr>
                      </pic:pic>
                    </a:graphicData>
                  </a:graphic>
                </wp:inline>
              </w:drawing>
            </w:r>
          </w:p>
          <w:p>
            <w:pPr>
              <w:pStyle w:val="2"/>
              <w:rPr>
                <w:rFonts w:hint="default"/>
                <w:lang w:val="en-US" w:eastAsia="zh-CN"/>
              </w:rPr>
            </w:pPr>
          </w:p>
          <w:p>
            <w:pPr>
              <w:pStyle w:val="2"/>
              <w:rPr>
                <w:rFonts w:hint="eastAsia" w:ascii="宋体" w:hAnsi="宋体" w:cs="宋体"/>
                <w:color w:val="auto"/>
                <w:kern w:val="0"/>
                <w:szCs w:val="21"/>
                <w:lang w:val="en-US" w:eastAsia="zh-CN"/>
              </w:rPr>
            </w:pPr>
          </w:p>
          <w:p>
            <w:pPr>
              <w:rPr>
                <w:b w:val="0"/>
                <w:bCs w:val="0"/>
              </w:rPr>
            </w:pPr>
          </w:p>
        </w:tc>
        <w:tc>
          <w:tcPr>
            <w:tcW w:w="1585" w:type="dxa"/>
          </w:tcPr>
          <w:p>
            <w:pPr>
              <w:rPr>
                <w:rFonts w:hint="default" w:eastAsia="宋体"/>
                <w:b w:val="0"/>
                <w:bCs w:val="0"/>
                <w:lang w:val="en-US" w:eastAsia="zh-CN"/>
              </w:rPr>
            </w:pPr>
            <w:r>
              <w:rPr>
                <w:rFonts w:hint="eastAsia"/>
                <w:b w:val="0"/>
                <w:bCs w:val="0"/>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b w:val="0"/>
                <w:bCs w:val="0"/>
              </w:rPr>
            </w:pPr>
            <w:r>
              <w:rPr>
                <w:rFonts w:hint="eastAsia" w:ascii="Times New Roman" w:hAnsi="Times New Roman" w:eastAsia="宋体" w:cs="Lucida Sans"/>
                <w:b w:val="0"/>
                <w:bCs w:val="0"/>
                <w:szCs w:val="20"/>
              </w:rPr>
              <w:t>应急准备和响应</w:t>
            </w:r>
          </w:p>
        </w:tc>
        <w:tc>
          <w:tcPr>
            <w:tcW w:w="960" w:type="dxa"/>
            <w:vAlign w:val="center"/>
          </w:tcPr>
          <w:p>
            <w:pPr>
              <w:rPr>
                <w:rFonts w:ascii="Times New Roman" w:hAnsi="Times New Roman" w:eastAsia="宋体" w:cs="Lucida Sans"/>
                <w:b w:val="0"/>
                <w:bCs w:val="0"/>
                <w:szCs w:val="20"/>
              </w:rPr>
            </w:pPr>
            <w:r>
              <w:rPr>
                <w:rFonts w:ascii="Times New Roman" w:hAnsi="Times New Roman" w:eastAsia="宋体" w:cs="Lucida Sans"/>
                <w:b w:val="0"/>
                <w:bCs w:val="0"/>
                <w:szCs w:val="20"/>
              </w:rPr>
              <w:t>E</w:t>
            </w:r>
            <w:r>
              <w:rPr>
                <w:rFonts w:hint="eastAsia" w:cs="Lucida Sans"/>
                <w:b w:val="0"/>
                <w:bCs w:val="0"/>
                <w:szCs w:val="20"/>
                <w:lang w:val="en-US" w:eastAsia="zh-CN"/>
              </w:rPr>
              <w:t>O</w:t>
            </w:r>
            <w:r>
              <w:rPr>
                <w:rFonts w:ascii="Times New Roman" w:hAnsi="Times New Roman" w:eastAsia="宋体" w:cs="Lucida Sans"/>
                <w:b w:val="0"/>
                <w:bCs w:val="0"/>
                <w:szCs w:val="20"/>
              </w:rPr>
              <w:t>8.2</w:t>
            </w:r>
          </w:p>
          <w:p>
            <w:pPr>
              <w:rPr>
                <w:b w:val="0"/>
                <w:bCs w:val="0"/>
              </w:rPr>
            </w:pPr>
          </w:p>
        </w:tc>
        <w:tc>
          <w:tcPr>
            <w:tcW w:w="10004" w:type="dxa"/>
            <w:vAlign w:val="center"/>
          </w:tcPr>
          <w:p>
            <w:pPr>
              <w:ind w:firstLine="420" w:firstLineChars="200"/>
              <w:rPr>
                <w:rFonts w:hint="default" w:ascii="Times New Roman" w:hAnsi="Times New Roman" w:eastAsia="宋体" w:cs="Lucida Sans"/>
                <w:b w:val="0"/>
                <w:bCs w:val="0"/>
                <w:szCs w:val="20"/>
                <w:lang w:val="en-US" w:eastAsia="zh-CN"/>
              </w:rPr>
            </w:pPr>
            <w:r>
              <w:rPr>
                <w:rFonts w:hint="eastAsia" w:cs="Lucida Sans"/>
                <w:b w:val="0"/>
                <w:bCs w:val="0"/>
                <w:szCs w:val="20"/>
                <w:lang w:val="en-US" w:eastAsia="zh-CN"/>
              </w:rPr>
              <w:t>参加公司统一组织的应急演练活动，具体详见行政部EO8.2审核记录</w:t>
            </w:r>
          </w:p>
          <w:p>
            <w:pPr>
              <w:rPr>
                <w:b w:val="0"/>
                <w:bCs w:val="0"/>
              </w:rPr>
            </w:pPr>
          </w:p>
        </w:tc>
        <w:tc>
          <w:tcPr>
            <w:tcW w:w="1585" w:type="dxa"/>
          </w:tcPr>
          <w:p>
            <w:pPr>
              <w:rPr>
                <w:rFonts w:hint="default" w:eastAsia="宋体"/>
                <w:b w:val="0"/>
                <w:bCs w:val="0"/>
                <w:lang w:val="en-US" w:eastAsia="zh-CN"/>
              </w:rPr>
            </w:pPr>
            <w:r>
              <w:rPr>
                <w:rFonts w:hint="eastAsia"/>
                <w:b w:val="0"/>
                <w:bCs w:val="0"/>
                <w:lang w:val="en-US" w:eastAsia="zh-CN"/>
              </w:rPr>
              <w:t>OK</w:t>
            </w:r>
          </w:p>
        </w:tc>
      </w:tr>
    </w:tbl>
    <w:p>
      <w:pPr>
        <w:pStyle w:val="7"/>
      </w:pPr>
    </w:p>
    <w:p>
      <w:pPr>
        <w:pStyle w:val="7"/>
      </w:pPr>
    </w:p>
    <w:p>
      <w:pPr>
        <w:pStyle w:val="7"/>
      </w:pPr>
    </w:p>
    <w:p>
      <w:pPr>
        <w:pStyle w:val="7"/>
      </w:pPr>
    </w:p>
    <w:p>
      <w:pPr>
        <w:pStyle w:val="7"/>
      </w:pPr>
    </w:p>
    <w:p>
      <w:pPr>
        <w:pStyle w:val="7"/>
      </w:pPr>
    </w:p>
    <w:p>
      <w:pPr>
        <w:pStyle w:val="7"/>
      </w:pPr>
    </w:p>
    <w:p>
      <w:pPr>
        <w:pStyle w:val="7"/>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方正仿宋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8"/>
      <w:pBdr>
        <w:bottom w:val="none" w:color="auto" w:sz="0" w:space="1"/>
      </w:pBdr>
      <w:spacing w:line="320" w:lineRule="exact"/>
      <w:jc w:val="left"/>
    </w:pPr>
    <w:r>
      <w:pict>
        <v:shape id="_x0000_s4097" o:spid="_x0000_s4097"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4"/>
        <w:rFonts w:hint="default"/>
        <w:w w:val="90"/>
      </w:rPr>
      <w:t>Beijing International Standard united Certification Co.,Ltd.</w:t>
    </w:r>
  </w:p>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1799B"/>
    <w:rsid w:val="000237F6"/>
    <w:rsid w:val="0003373A"/>
    <w:rsid w:val="000400E2"/>
    <w:rsid w:val="00062E46"/>
    <w:rsid w:val="000840F6"/>
    <w:rsid w:val="00087A33"/>
    <w:rsid w:val="000B020C"/>
    <w:rsid w:val="000C3FF7"/>
    <w:rsid w:val="00116913"/>
    <w:rsid w:val="001707F6"/>
    <w:rsid w:val="00195095"/>
    <w:rsid w:val="001A1C49"/>
    <w:rsid w:val="001A2D7F"/>
    <w:rsid w:val="001A34EF"/>
    <w:rsid w:val="001B43C2"/>
    <w:rsid w:val="001F2625"/>
    <w:rsid w:val="00291FEA"/>
    <w:rsid w:val="002939AD"/>
    <w:rsid w:val="002A2285"/>
    <w:rsid w:val="002A5825"/>
    <w:rsid w:val="002B4406"/>
    <w:rsid w:val="00303DB5"/>
    <w:rsid w:val="00337922"/>
    <w:rsid w:val="00340867"/>
    <w:rsid w:val="00380837"/>
    <w:rsid w:val="00392D45"/>
    <w:rsid w:val="003A198A"/>
    <w:rsid w:val="003F0DE6"/>
    <w:rsid w:val="003F12E0"/>
    <w:rsid w:val="00410914"/>
    <w:rsid w:val="00415DCC"/>
    <w:rsid w:val="00444235"/>
    <w:rsid w:val="004E71EB"/>
    <w:rsid w:val="00536930"/>
    <w:rsid w:val="00552106"/>
    <w:rsid w:val="00562CB3"/>
    <w:rsid w:val="00564E53"/>
    <w:rsid w:val="00586F5B"/>
    <w:rsid w:val="0059120E"/>
    <w:rsid w:val="005D5659"/>
    <w:rsid w:val="00600C20"/>
    <w:rsid w:val="00644FE2"/>
    <w:rsid w:val="00671C34"/>
    <w:rsid w:val="0067640C"/>
    <w:rsid w:val="006B6DFE"/>
    <w:rsid w:val="006C578E"/>
    <w:rsid w:val="006E678B"/>
    <w:rsid w:val="00711AC3"/>
    <w:rsid w:val="007302FD"/>
    <w:rsid w:val="00771E5F"/>
    <w:rsid w:val="007757F3"/>
    <w:rsid w:val="007A7680"/>
    <w:rsid w:val="007E6AEB"/>
    <w:rsid w:val="008534ED"/>
    <w:rsid w:val="008973EE"/>
    <w:rsid w:val="00926D1D"/>
    <w:rsid w:val="00971600"/>
    <w:rsid w:val="009973B4"/>
    <w:rsid w:val="009C28C1"/>
    <w:rsid w:val="009E4939"/>
    <w:rsid w:val="009F7EED"/>
    <w:rsid w:val="00A079CB"/>
    <w:rsid w:val="00A07A6A"/>
    <w:rsid w:val="00A15ED5"/>
    <w:rsid w:val="00A56EAF"/>
    <w:rsid w:val="00A80636"/>
    <w:rsid w:val="00AE0EBA"/>
    <w:rsid w:val="00AF0AAB"/>
    <w:rsid w:val="00B21AC1"/>
    <w:rsid w:val="00B46B2A"/>
    <w:rsid w:val="00B75BC6"/>
    <w:rsid w:val="00B83D4D"/>
    <w:rsid w:val="00BB1411"/>
    <w:rsid w:val="00BF597E"/>
    <w:rsid w:val="00BF5C94"/>
    <w:rsid w:val="00C51A36"/>
    <w:rsid w:val="00C55228"/>
    <w:rsid w:val="00C616A7"/>
    <w:rsid w:val="00CB429C"/>
    <w:rsid w:val="00CE315A"/>
    <w:rsid w:val="00CF0319"/>
    <w:rsid w:val="00D06F59"/>
    <w:rsid w:val="00D8388C"/>
    <w:rsid w:val="00DE45C7"/>
    <w:rsid w:val="00E30F29"/>
    <w:rsid w:val="00E6224C"/>
    <w:rsid w:val="00E7766B"/>
    <w:rsid w:val="00EA77A5"/>
    <w:rsid w:val="00EB0164"/>
    <w:rsid w:val="00EB2230"/>
    <w:rsid w:val="00ED0F62"/>
    <w:rsid w:val="00EE3CE1"/>
    <w:rsid w:val="00F80B81"/>
    <w:rsid w:val="034C51C5"/>
    <w:rsid w:val="0562705E"/>
    <w:rsid w:val="09760BC6"/>
    <w:rsid w:val="09981E28"/>
    <w:rsid w:val="09F551AB"/>
    <w:rsid w:val="0A8A6BA7"/>
    <w:rsid w:val="0B23277A"/>
    <w:rsid w:val="0D4B69C7"/>
    <w:rsid w:val="0EEF4590"/>
    <w:rsid w:val="0F3468D0"/>
    <w:rsid w:val="0F997E93"/>
    <w:rsid w:val="104D1619"/>
    <w:rsid w:val="108219C2"/>
    <w:rsid w:val="10DE7C48"/>
    <w:rsid w:val="11D6584F"/>
    <w:rsid w:val="120D3A2D"/>
    <w:rsid w:val="133E7CE9"/>
    <w:rsid w:val="15371138"/>
    <w:rsid w:val="165737A4"/>
    <w:rsid w:val="16FC641A"/>
    <w:rsid w:val="178A5CE8"/>
    <w:rsid w:val="181E4E80"/>
    <w:rsid w:val="1A091769"/>
    <w:rsid w:val="1ABA03CF"/>
    <w:rsid w:val="1B1D2677"/>
    <w:rsid w:val="1B5D1D69"/>
    <w:rsid w:val="1D390463"/>
    <w:rsid w:val="1D3C6D23"/>
    <w:rsid w:val="1D8E5A11"/>
    <w:rsid w:val="1DA36BB1"/>
    <w:rsid w:val="1E290899"/>
    <w:rsid w:val="22073838"/>
    <w:rsid w:val="225474FE"/>
    <w:rsid w:val="231F2396"/>
    <w:rsid w:val="23237352"/>
    <w:rsid w:val="232665D9"/>
    <w:rsid w:val="248A4DCD"/>
    <w:rsid w:val="25F60562"/>
    <w:rsid w:val="26E62F85"/>
    <w:rsid w:val="29755C6A"/>
    <w:rsid w:val="2B356A43"/>
    <w:rsid w:val="2BB1558C"/>
    <w:rsid w:val="2CD94080"/>
    <w:rsid w:val="2D9475F8"/>
    <w:rsid w:val="2F0E5F1B"/>
    <w:rsid w:val="2FAD3FD0"/>
    <w:rsid w:val="3126251D"/>
    <w:rsid w:val="31AD1AE8"/>
    <w:rsid w:val="31D252EC"/>
    <w:rsid w:val="31F7156A"/>
    <w:rsid w:val="32AB0118"/>
    <w:rsid w:val="339F5F59"/>
    <w:rsid w:val="3427326B"/>
    <w:rsid w:val="351D0083"/>
    <w:rsid w:val="369F4E21"/>
    <w:rsid w:val="38A222EE"/>
    <w:rsid w:val="3A312611"/>
    <w:rsid w:val="3DF3476E"/>
    <w:rsid w:val="3F0222CC"/>
    <w:rsid w:val="3FAB3A1E"/>
    <w:rsid w:val="401D2006"/>
    <w:rsid w:val="40244DDE"/>
    <w:rsid w:val="41AD78F5"/>
    <w:rsid w:val="43542F66"/>
    <w:rsid w:val="43A439C8"/>
    <w:rsid w:val="44B81226"/>
    <w:rsid w:val="45AA1E1F"/>
    <w:rsid w:val="462D7215"/>
    <w:rsid w:val="46A47E45"/>
    <w:rsid w:val="47230452"/>
    <w:rsid w:val="49586EA8"/>
    <w:rsid w:val="49822AC3"/>
    <w:rsid w:val="4BCD6209"/>
    <w:rsid w:val="4DCB6A41"/>
    <w:rsid w:val="4EA95B28"/>
    <w:rsid w:val="51107B5F"/>
    <w:rsid w:val="51152F83"/>
    <w:rsid w:val="51562946"/>
    <w:rsid w:val="528C1234"/>
    <w:rsid w:val="53E33F86"/>
    <w:rsid w:val="5513591F"/>
    <w:rsid w:val="55B4200A"/>
    <w:rsid w:val="55D3314C"/>
    <w:rsid w:val="58455CA1"/>
    <w:rsid w:val="59D15B05"/>
    <w:rsid w:val="5A076719"/>
    <w:rsid w:val="5EA12B9A"/>
    <w:rsid w:val="5FAF1CEF"/>
    <w:rsid w:val="616A3A39"/>
    <w:rsid w:val="62CC6143"/>
    <w:rsid w:val="62D77D40"/>
    <w:rsid w:val="63A828F7"/>
    <w:rsid w:val="63C255F7"/>
    <w:rsid w:val="644843F8"/>
    <w:rsid w:val="64687842"/>
    <w:rsid w:val="646E474A"/>
    <w:rsid w:val="64711015"/>
    <w:rsid w:val="66956685"/>
    <w:rsid w:val="67D077E9"/>
    <w:rsid w:val="6A006F03"/>
    <w:rsid w:val="6A675D38"/>
    <w:rsid w:val="6D9020D6"/>
    <w:rsid w:val="6EA36731"/>
    <w:rsid w:val="6F611BF9"/>
    <w:rsid w:val="6FE16B9E"/>
    <w:rsid w:val="707E7B4E"/>
    <w:rsid w:val="718314ED"/>
    <w:rsid w:val="74421025"/>
    <w:rsid w:val="748B1532"/>
    <w:rsid w:val="753B6A83"/>
    <w:rsid w:val="755B24E3"/>
    <w:rsid w:val="76920644"/>
    <w:rsid w:val="7738099C"/>
    <w:rsid w:val="77A81EE5"/>
    <w:rsid w:val="77B06974"/>
    <w:rsid w:val="7A041EA6"/>
    <w:rsid w:val="7D220426"/>
    <w:rsid w:val="7DF35C09"/>
    <w:rsid w:val="7E46108E"/>
    <w:rsid w:val="7F085A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unhideWhenUsed/>
    <w:qFormat/>
    <w:uiPriority w:val="0"/>
    <w:pPr>
      <w:spacing w:after="120"/>
    </w:pPr>
  </w:style>
  <w:style w:type="paragraph" w:styleId="4">
    <w:name w:val="Plain Text"/>
    <w:basedOn w:val="1"/>
    <w:link w:val="17"/>
    <w:qFormat/>
    <w:uiPriority w:val="0"/>
    <w:rPr>
      <w:rFonts w:ascii="宋体" w:hAnsi="Courier New"/>
      <w:szCs w:val="21"/>
    </w:rPr>
  </w:style>
  <w:style w:type="paragraph" w:styleId="5">
    <w:name w:val="Body Text Indent 2"/>
    <w:basedOn w:val="1"/>
    <w:qFormat/>
    <w:uiPriority w:val="0"/>
    <w:pPr>
      <w:ind w:firstLine="560" w:firstLineChars="200"/>
    </w:pPr>
    <w:rPr>
      <w:rFonts w:ascii="宋体" w:hAnsi="宋体"/>
      <w:sz w:val="28"/>
    </w:rPr>
  </w:style>
  <w:style w:type="paragraph" w:styleId="6">
    <w:name w:val="Balloon Text"/>
    <w:basedOn w:val="1"/>
    <w:link w:val="13"/>
    <w:semiHidden/>
    <w:unhideWhenUsed/>
    <w:qFormat/>
    <w:uiPriority w:val="99"/>
    <w:rPr>
      <w:sz w:val="18"/>
      <w:szCs w:val="18"/>
    </w:rPr>
  </w:style>
  <w:style w:type="paragraph" w:styleId="7">
    <w:name w:val="footer"/>
    <w:basedOn w:val="1"/>
    <w:link w:val="12"/>
    <w:unhideWhenUsed/>
    <w:qFormat/>
    <w:uiPriority w:val="99"/>
    <w:pPr>
      <w:tabs>
        <w:tab w:val="center" w:pos="4153"/>
        <w:tab w:val="right" w:pos="8306"/>
      </w:tabs>
      <w:snapToGrid w:val="0"/>
      <w:jc w:val="left"/>
    </w:pPr>
    <w:rPr>
      <w:sz w:val="18"/>
      <w:szCs w:val="18"/>
    </w:rPr>
  </w:style>
  <w:style w:type="paragraph" w:styleId="8">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1">
    <w:name w:val="页眉 Char"/>
    <w:basedOn w:val="10"/>
    <w:link w:val="8"/>
    <w:qFormat/>
    <w:uiPriority w:val="99"/>
    <w:rPr>
      <w:rFonts w:ascii="Times New Roman" w:hAnsi="Times New Roman" w:eastAsia="宋体" w:cs="Times New Roman"/>
      <w:sz w:val="18"/>
      <w:szCs w:val="18"/>
    </w:rPr>
  </w:style>
  <w:style w:type="character" w:customStyle="1" w:styleId="12">
    <w:name w:val="页脚 Char"/>
    <w:basedOn w:val="10"/>
    <w:link w:val="7"/>
    <w:qFormat/>
    <w:uiPriority w:val="99"/>
    <w:rPr>
      <w:rFonts w:ascii="Times New Roman" w:hAnsi="Times New Roman" w:eastAsia="宋体" w:cs="Times New Roman"/>
      <w:sz w:val="18"/>
      <w:szCs w:val="18"/>
    </w:rPr>
  </w:style>
  <w:style w:type="character" w:customStyle="1" w:styleId="13">
    <w:name w:val="批注框文本 Char"/>
    <w:basedOn w:val="10"/>
    <w:link w:val="6"/>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Char"/>
    <w:basedOn w:val="1"/>
    <w:qFormat/>
    <w:uiPriority w:val="0"/>
    <w:pPr>
      <w:widowControl/>
      <w:spacing w:after="160" w:line="240" w:lineRule="exact"/>
      <w:jc w:val="left"/>
    </w:pPr>
  </w:style>
  <w:style w:type="paragraph" w:styleId="16">
    <w:name w:val="List Paragraph"/>
    <w:basedOn w:val="1"/>
    <w:unhideWhenUsed/>
    <w:qFormat/>
    <w:uiPriority w:val="99"/>
    <w:pPr>
      <w:ind w:firstLine="420" w:firstLineChars="200"/>
    </w:pPr>
  </w:style>
  <w:style w:type="character" w:customStyle="1" w:styleId="17">
    <w:name w:val="纯文本 Char"/>
    <w:link w:val="4"/>
    <w:qFormat/>
    <w:uiPriority w:val="0"/>
    <w:rPr>
      <w:rFonts w:ascii="宋体" w:hAnsi="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1554</Words>
  <Characters>8864</Characters>
  <Lines>73</Lines>
  <Paragraphs>20</Paragraphs>
  <TotalTime>4</TotalTime>
  <ScaleCrop>false</ScaleCrop>
  <LinksUpToDate>false</LinksUpToDate>
  <CharactersWithSpaces>10398</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2020-11-16T04:47:52Z</dcterms:modified>
  <cp:revision>215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