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隶书" w:hAnsi="楷体" w:eastAsia="隶书"/>
          <w:b/>
          <w:bCs/>
          <w:sz w:val="44"/>
          <w:szCs w:val="44"/>
        </w:rPr>
      </w:pPr>
      <w:r>
        <w:rPr>
          <w:rFonts w:hint="eastAsia" w:ascii="隶书" w:hAnsi="楷体" w:eastAsia="隶书"/>
          <w:b/>
          <w:bCs/>
          <w:sz w:val="44"/>
          <w:szCs w:val="44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6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受审核部门：技术部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主管领导：李平   陪同人员：史敖元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审核时间：2020.11.20</w:t>
            </w:r>
            <w:bookmarkStart w:id="0" w:name="_GoBack"/>
            <w:bookmarkEnd w:id="0"/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审核条款：QMS:5.3组织的岗位、职责和权限、6.2质量目标、7.1.5监视和测量资源、8.6产品和服务的放行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 5.3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现场询问技术部负责人，本部门职责主要有：负责产品的质量检验工作、负责对监视和测量设备的控制和管理、不合格品管理、产品和服务的放行、识别辨识本部门的环境因危险源以及本部门的运行控制等。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技术部上述作用和职责、权限基本得到有效沟通和实施。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Q6.2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部门目标：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2020.11.9考核情况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1、计量器具校准率100%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2、确保产品一次交验合格率≥98%；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3、确保产品出厂合格率100%；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考核情况：20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.11.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日各部门已完成。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公司为确保产品监视和测量活动需要，提供并配备了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子天平、数显恒温水浴锅、微量水分测定议、分光光度计、超声波、熔点议、玻璃议器气流烘干器、电导率议、PH计、汗渍色牢度烘箱、多参数水质测定议、加热磁力搅拌器、隔水式恒温培养箱、标准COD消解器、电热鼓风干燥箱、粉尘飞扬性试验机、溶解度分散性不溶物试验机、集热式恒温加热磁力搅拌器、循环水式多用真空泵、水份测定议、标准筛、生化培养箱、测色器、气相色谱、液相色谱</w:t>
            </w:r>
            <w:r>
              <w:rPr>
                <w:rFonts w:ascii="楷体" w:hAnsi="楷体" w:eastAsia="楷体"/>
                <w:sz w:val="24"/>
                <w:szCs w:val="24"/>
              </w:rPr>
              <w:t>等监视和测量设备。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抽查PH计  校准证书 LHX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07-2008190087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规格/型号：PHS-3C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抽查电子天平  校准证书 LXX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06-2008190063 </w:t>
            </w:r>
            <w:r>
              <w:rPr>
                <w:rFonts w:ascii="楷体" w:hAnsi="楷体" w:eastAsia="楷体"/>
                <w:sz w:val="24"/>
                <w:szCs w:val="24"/>
              </w:rPr>
              <w:t>规格/型号：ME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104E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抽查熔点仪  校准证书 RGX7-2008190088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规格/型号：WRS-2C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抽查分光光度计  校准证书 LHX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07-2008190082 </w:t>
            </w:r>
            <w:r>
              <w:rPr>
                <w:rFonts w:ascii="楷体" w:hAnsi="楷体" w:eastAsia="楷体"/>
                <w:sz w:val="24"/>
                <w:szCs w:val="24"/>
              </w:rPr>
              <w:t>规格/型号：UV-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1780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抽查移液管  校准证书 LHX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07-2008200182 </w:t>
            </w:r>
            <w:r>
              <w:rPr>
                <w:rFonts w:ascii="楷体" w:hAnsi="楷体" w:eastAsia="楷体"/>
                <w:sz w:val="24"/>
                <w:szCs w:val="24"/>
              </w:rPr>
              <w:t>规格/型号：ZJ-DDG-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01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抽查汗渍色牢度烘箱  校准证书 RGX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07-2008190035 </w:t>
            </w:r>
            <w:r>
              <w:rPr>
                <w:rFonts w:ascii="楷体" w:hAnsi="楷体" w:eastAsia="楷体"/>
                <w:sz w:val="24"/>
                <w:szCs w:val="24"/>
              </w:rPr>
              <w:t>规格/型号：Y（B）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902G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抽查电子秤  校准证书 LXX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06-2008190067 </w:t>
            </w:r>
            <w:r>
              <w:rPr>
                <w:rFonts w:ascii="楷体" w:hAnsi="楷体" w:eastAsia="楷体"/>
                <w:sz w:val="24"/>
                <w:szCs w:val="24"/>
              </w:rPr>
              <w:t>规格/型号：HJ-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650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抽查气相色谱仪  校准证书 LHX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07-2008190076 </w:t>
            </w:r>
            <w:r>
              <w:rPr>
                <w:rFonts w:ascii="楷体" w:hAnsi="楷体" w:eastAsia="楷体"/>
                <w:sz w:val="24"/>
                <w:szCs w:val="24"/>
              </w:rPr>
              <w:t>规格/型号：GC-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1690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20.8.19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浙江中溯计量技术有限公司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采购产品验收、生产过程检验、产品放行等依据顾客技术要求和产品执行标准要求。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</w:t>
            </w:r>
            <w:r>
              <w:rPr>
                <w:rFonts w:ascii="楷体" w:hAnsi="楷体" w:eastAsia="楷体"/>
                <w:sz w:val="24"/>
                <w:szCs w:val="24"/>
              </w:rPr>
              <w:t>进货检验：检验依据原材料检验作业指导书，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提供原材料检验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报告单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29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日，原材料名称：氯化亚铜，数量：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桶，检验项目：外观（浅绿色粉末）、含量（要求≥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98，实际98.26</w:t>
            </w:r>
            <w:r>
              <w:rPr>
                <w:rFonts w:ascii="楷体" w:hAnsi="楷体" w:eastAsia="楷体"/>
                <w:sz w:val="24"/>
                <w:szCs w:val="24"/>
              </w:rPr>
              <w:t>）等项目，结果合格，检验员秦鑫。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日，原材料名称：C酸，批号：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200714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，检验项目：外观（白色粉末）、纯度（要求≥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98.5，实际98.65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1.0，实际0.83</w:t>
            </w:r>
            <w:r>
              <w:rPr>
                <w:rFonts w:ascii="楷体" w:hAnsi="楷体" w:eastAsia="楷体"/>
                <w:sz w:val="24"/>
                <w:szCs w:val="24"/>
              </w:rPr>
              <w:t>）等项目；批号：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200715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，检验项目：外观（白色粉末）、纯度（要求≥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98.5，实际98.61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1.0，实际0.66</w:t>
            </w:r>
            <w:r>
              <w:rPr>
                <w:rFonts w:ascii="楷体" w:hAnsi="楷体" w:eastAsia="楷体"/>
                <w:sz w:val="24"/>
                <w:szCs w:val="24"/>
              </w:rPr>
              <w:t>）等项目；批号：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200716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，检验项目：外观（白色粉末）、纯度（要求≥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98.5，实际99.34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1.0，实际0.74</w:t>
            </w:r>
            <w:r>
              <w:rPr>
                <w:rFonts w:ascii="楷体" w:hAnsi="楷体" w:eastAsia="楷体"/>
                <w:sz w:val="24"/>
                <w:szCs w:val="24"/>
              </w:rPr>
              <w:t>）等项目；结果合格，检验员秦爱春。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1-氨基蒽醌</w:t>
            </w:r>
            <w:r>
              <w:rPr>
                <w:rFonts w:ascii="楷体" w:hAnsi="楷体" w:eastAsia="楷体"/>
                <w:sz w:val="24"/>
                <w:szCs w:val="24"/>
              </w:rPr>
              <w:t>，批号：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7-20-1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，检验项目：外观（红色粉末）、纯度（要求≥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98%，实际98.22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1.0%，实际0.85%</w:t>
            </w:r>
            <w:r>
              <w:rPr>
                <w:rFonts w:ascii="楷体" w:hAnsi="楷体" w:eastAsia="楷体"/>
                <w:sz w:val="24"/>
                <w:szCs w:val="24"/>
              </w:rPr>
              <w:t>）等项目；批号：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7-23-1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，检验项目：外观（红色粉末）、纯度（要求≥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98%，实际98.71%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1.0%，实际0.92%</w:t>
            </w:r>
            <w:r>
              <w:rPr>
                <w:rFonts w:ascii="楷体" w:hAnsi="楷体" w:eastAsia="楷体"/>
                <w:sz w:val="24"/>
                <w:szCs w:val="24"/>
              </w:rPr>
              <w:t>）等项目；批号：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7-30-3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，检验项目：外观（红色粉末）、纯度（要求≥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98%，实际98.19%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1.0%，实际0.59%</w:t>
            </w:r>
            <w:r>
              <w:rPr>
                <w:rFonts w:ascii="楷体" w:hAnsi="楷体" w:eastAsia="楷体"/>
                <w:sz w:val="24"/>
                <w:szCs w:val="24"/>
              </w:rPr>
              <w:t>）等项目；批号：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8-22-1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，检验项目：外观（红色粉末）、纯度（要求≥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98%，实际98.50%</w:t>
            </w:r>
            <w:r>
              <w:rPr>
                <w:rFonts w:ascii="楷体" w:hAnsi="楷体" w:eastAsia="楷体"/>
                <w:sz w:val="24"/>
                <w:szCs w:val="24"/>
              </w:rPr>
              <w:t>）、水分（要求≤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1.0%，实际0.67%</w:t>
            </w:r>
            <w:r>
              <w:rPr>
                <w:rFonts w:ascii="楷体" w:hAnsi="楷体" w:eastAsia="楷体"/>
                <w:sz w:val="24"/>
                <w:szCs w:val="24"/>
              </w:rPr>
              <w:t>）等项目；结果合格，检验员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鲁周风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24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邻二氯苯</w:t>
            </w:r>
            <w:r>
              <w:rPr>
                <w:rFonts w:ascii="楷体" w:hAnsi="楷体" w:eastAsia="楷体"/>
                <w:sz w:val="24"/>
                <w:szCs w:val="24"/>
              </w:rPr>
              <w:t>，数量：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1车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，检验项目：外观（无色透明液体）、含量（要求≥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99，实际99.46</w:t>
            </w:r>
            <w:r>
              <w:rPr>
                <w:rFonts w:ascii="楷体" w:hAnsi="楷体" w:eastAsia="楷体"/>
                <w:sz w:val="24"/>
                <w:szCs w:val="24"/>
              </w:rPr>
              <w:t>）等项目；结果合格，检验员廖利毛。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14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次氯酸钠</w:t>
            </w:r>
            <w:r>
              <w:rPr>
                <w:rFonts w:ascii="楷体" w:hAnsi="楷体" w:eastAsia="楷体"/>
                <w:sz w:val="24"/>
                <w:szCs w:val="24"/>
              </w:rPr>
              <w:t>，数量：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1车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，检验项目：外观（淡黄色有刺激性气味液体）、有效氯（要求≥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10，实际14.20</w:t>
            </w:r>
            <w:r>
              <w:rPr>
                <w:rFonts w:ascii="楷体" w:hAnsi="楷体" w:eastAsia="楷体"/>
                <w:sz w:val="24"/>
                <w:szCs w:val="24"/>
              </w:rPr>
              <w:t>）、游离碱（要求≤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1.0，实际0.63</w:t>
            </w:r>
            <w:r>
              <w:rPr>
                <w:rFonts w:ascii="楷体" w:hAnsi="楷体" w:eastAsia="楷体"/>
                <w:sz w:val="24"/>
                <w:szCs w:val="24"/>
              </w:rPr>
              <w:t>）等项目；结果合格，检验员秦爱春。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2020年9月16日，原材料名称：双氧水，数量：1车，检验项目：外观（无色透明液体），含量（要求</w:t>
            </w:r>
            <w:r>
              <w:rPr>
                <w:rFonts w:ascii="楷体" w:hAnsi="楷体" w:eastAsia="楷体"/>
                <w:sz w:val="24"/>
                <w:szCs w:val="24"/>
              </w:rPr>
              <w:t>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27，实际28.19）等项目；结果合格，检验员刘敏。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2020年10月25日，原材料名称：活性炭，数量：1车，检验项目：外观（黑色粉末），脱色力含量（要求10-15，实际13）等项目；结果合格，检验员刘敏。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2020年9月16日，原材料名称：溴素，数量：1车，检验项目：外观（棕红色液体），含量（要求</w:t>
            </w:r>
            <w:r>
              <w:rPr>
                <w:rFonts w:ascii="楷体" w:hAnsi="楷体" w:eastAsia="楷体"/>
                <w:sz w:val="24"/>
                <w:szCs w:val="24"/>
              </w:rPr>
              <w:t>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99%，实际99.50%）等项目；结果合格，检验员鲁周风。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提供了硫酸、氯磺酸塑粉的等原材料的供应商出厂检验报告、质量证明书，检验合格。</w:t>
            </w:r>
          </w:p>
          <w:p>
            <w:pPr>
              <w:pStyle w:val="17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没有发生在供方处进行验证的情况。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2、过程检验：检验依据检验作业指导书，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各工序有生产过程抽样检验记录，内容包括产品名称、工序名称、生产日期、数量、检验项目，检验结果、检验员等，检查要内容主包括色差、强度、水分、溴素含量、氧化物含量等项目进行检查。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11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9日溴氨酸（染料中间体）产品巡检记录，对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磺化、稀释沉降分层、溴化、精制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等工序进行了检验，记录完整进行，基本符合要求，检验结果，合格，检验员秦爱春等。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日溴氨酸（染料中间体）产品巡检记录，对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磺化、稀释沉降分层、溴化、精制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等工序进行了检验，记录完整进行，基本符合要求，检验结果，合格，检验员廖利毛等。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年11月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25（染料）产品</w:t>
            </w:r>
            <w:r>
              <w:rPr>
                <w:rFonts w:ascii="楷体" w:hAnsi="楷体" w:eastAsia="楷体"/>
                <w:sz w:val="24"/>
                <w:szCs w:val="24"/>
              </w:rPr>
              <w:t>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A组分、B组分、C组分、D组分、F组分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等工序进行了检验，记录完整进行，基本符合要求，检验结果，合格，检验员秦鑫等。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3、成品（出厂）检验：检验依据检验作业指导书、客户技术要求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提供了公司出厂检测报告单。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.10.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  <w:r>
              <w:rPr>
                <w:rFonts w:ascii="楷体" w:hAnsi="楷体" w:eastAsia="楷体"/>
                <w:sz w:val="24"/>
                <w:szCs w:val="24"/>
              </w:rPr>
              <w:t>日溴氨酸（染料中间体）批号J201159成品检验单，对含量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91.68</w:t>
            </w:r>
            <w:r>
              <w:rPr>
                <w:rFonts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1-氨基蒽醌2-磺酸（0.03%）、1-氨基蒽醌（0.02%）、蒽醌（0.01%）、1氨基-2，4二溴蒽醌（0.01%）、1-氨基-2-溴蒽醌（0.04%）、1-氨基-4-溴蒽醌（0.01%）、1-氨基-四氯蒽醌-2-磺酸（0.17%）、纯度（99.75%）、水份（2.33%）、不溶物（0.02%）、净重250kg/件，件数（4件）、工业量（1000KG）、折百量（916.8KG）</w:t>
            </w:r>
            <w:r>
              <w:rPr>
                <w:rFonts w:ascii="楷体" w:hAnsi="楷体" w:eastAsia="楷体"/>
                <w:sz w:val="24"/>
                <w:szCs w:val="24"/>
              </w:rPr>
              <w:t>等进行检验；判定结果：合格，检验人员刘敏、鲁周风。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17</w:t>
            </w:r>
            <w:r>
              <w:rPr>
                <w:rFonts w:ascii="楷体" w:hAnsi="楷体" w:eastAsia="楷体"/>
                <w:sz w:val="24"/>
                <w:szCs w:val="24"/>
              </w:rPr>
              <w:t>日溴氨酸（染料中间体）J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201161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成品检验单，对含量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91.25</w:t>
            </w:r>
            <w:r>
              <w:rPr>
                <w:rFonts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1-氨基蒽醌2-磺酸（0.03%）、1-氨基蒽醌（0.01%）、蒽醌（0.01%）、1氨基-2，4二溴蒽醌（0.01%）、1-氨基-2-溴蒽醌（0.03%）、1-氨基-4-溴蒽醌（0.01%）、1-氨基-四氯蒽醌-2-磺酸（0.18%）、纯度（99.68%）、水份（2.76%）、不溶物（0.02%）、净重25kg/件，件数（80件）、工业量（2000KG）、折百量（1825KG）</w:t>
            </w:r>
            <w:r>
              <w:rPr>
                <w:rFonts w:ascii="楷体" w:hAnsi="楷体" w:eastAsia="楷体"/>
                <w:sz w:val="24"/>
                <w:szCs w:val="24"/>
              </w:rPr>
              <w:t>等进行检验；判定结果：合格，检验人员刘敏、鲁周风。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27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（染料）J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200902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1.002%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100.846%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100.53%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4.19%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0.2%</w:t>
            </w:r>
            <w:r>
              <w:rPr>
                <w:rFonts w:ascii="楷体" w:hAnsi="楷体" w:eastAsia="楷体"/>
                <w:sz w:val="24"/>
                <w:szCs w:val="24"/>
              </w:rPr>
              <w:t>、溶解度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40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4.5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等项等进行检验；判定结果：合格，检验人员秦爱春。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（染料）J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201007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1.000%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100.077%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99.98%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7.24%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0.03%</w:t>
            </w:r>
            <w:r>
              <w:rPr>
                <w:rFonts w:ascii="楷体" w:hAnsi="楷体" w:eastAsia="楷体"/>
                <w:sz w:val="24"/>
                <w:szCs w:val="24"/>
              </w:rPr>
              <w:t>、溶解度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40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鑫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（染料）J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201107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0.995%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100.307%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101%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3.47%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0.02%</w:t>
            </w:r>
            <w:r>
              <w:rPr>
                <w:rFonts w:ascii="楷体" w:hAnsi="楷体" w:eastAsia="楷体"/>
                <w:sz w:val="24"/>
                <w:szCs w:val="24"/>
              </w:rPr>
              <w:t>、溶解度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40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4.8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鑫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right="-6" w:rightChars="-3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4、第三方检验：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提供201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  <w:r>
              <w:rPr>
                <w:rFonts w:ascii="楷体" w:hAnsi="楷体" w:eastAsia="楷体"/>
                <w:sz w:val="24"/>
                <w:szCs w:val="24"/>
              </w:rPr>
              <w:t>日染料产品（酸性蓝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40、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62、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129、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225、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260、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281、</w:t>
            </w:r>
            <w:r>
              <w:rPr>
                <w:rFonts w:ascii="楷体" w:hAnsi="楷体" w:eastAsia="楷体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2511</w:t>
            </w:r>
            <w:r>
              <w:rPr>
                <w:rFonts w:ascii="楷体" w:hAnsi="楷体" w:eastAsia="楷体"/>
                <w:sz w:val="24"/>
                <w:szCs w:val="24"/>
              </w:rPr>
              <w:t>）委托检验报告，依据客户要求，测试样品中相关物质的含量，检验机构：上海天祥质量技术服务有限公司。见附件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不合格输出的控制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szCs w:val="21"/>
              </w:rPr>
              <w:t>Q8.7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让步、降级、回收利用和报废等方式进行处理，批量的不合格品要求填写“不合格处理记录表”，记录不合格品名称、规格/型号、数量、不合格事实、评审处置措施，验证结果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抽2020年9月27日“不合格处理记录”，不合格品描述：酸性蓝3034成品，批号：</w:t>
            </w:r>
            <w:r>
              <w:rPr>
                <w:rFonts w:ascii="楷体" w:hAnsi="楷体" w:eastAsia="楷体"/>
                <w:sz w:val="24"/>
                <w:szCs w:val="24"/>
              </w:rPr>
              <w:t>J200920  160%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抽检检测发现指标力份力份不合格,低2%（要求160%，实测158%）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处理意见：1.跟客户沟通,换货处理2.标品室增加除湿机及干燥器定期更换干燥剂。处理人：</w:t>
            </w:r>
            <w:r>
              <w:rPr>
                <w:rFonts w:hint="eastAsia" w:ascii="楷体" w:hAnsi="楷体" w:eastAsia="楷体"/>
              </w:rPr>
              <w:t>鲁周凤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。纠正结果跟进验证，已换货处理、增加除湿机，跟进验证人：李平 2020.9.28。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pStyle w:val="3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30F0"/>
    <w:rsid w:val="000235DE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023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0AF"/>
    <w:rsid w:val="0012440D"/>
    <w:rsid w:val="00126769"/>
    <w:rsid w:val="00127181"/>
    <w:rsid w:val="00134908"/>
    <w:rsid w:val="00136114"/>
    <w:rsid w:val="0014220A"/>
    <w:rsid w:val="0014235B"/>
    <w:rsid w:val="00145688"/>
    <w:rsid w:val="001478E0"/>
    <w:rsid w:val="00150852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776A1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067A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5851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9E2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6DD3"/>
    <w:rsid w:val="0038786B"/>
    <w:rsid w:val="00390252"/>
    <w:rsid w:val="0039060D"/>
    <w:rsid w:val="003908B4"/>
    <w:rsid w:val="0039221F"/>
    <w:rsid w:val="003932D0"/>
    <w:rsid w:val="00393538"/>
    <w:rsid w:val="00394590"/>
    <w:rsid w:val="0039617D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938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197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C5669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7FE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2E4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136"/>
    <w:rsid w:val="008154F4"/>
    <w:rsid w:val="00820838"/>
    <w:rsid w:val="008235F4"/>
    <w:rsid w:val="00823D48"/>
    <w:rsid w:val="0082412A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23BD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01CB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479B1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14CE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0877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24A3"/>
    <w:rsid w:val="00D63565"/>
    <w:rsid w:val="00D7045B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575D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53B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D7B2D"/>
    <w:rsid w:val="00EE16F5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783"/>
    <w:rsid w:val="00FA3D64"/>
    <w:rsid w:val="00FA60D4"/>
    <w:rsid w:val="00FB03C3"/>
    <w:rsid w:val="00FB13A0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1927492E"/>
    <w:rsid w:val="5EA12B9A"/>
    <w:rsid w:val="6B142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4B622-A80C-4C4C-B468-7E7BBD082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713</Words>
  <Characters>4069</Characters>
  <Lines>33</Lines>
  <Paragraphs>9</Paragraphs>
  <TotalTime>3581</TotalTime>
  <ScaleCrop>false</ScaleCrop>
  <LinksUpToDate>false</LinksUpToDate>
  <CharactersWithSpaces>4773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2020-11-20T08:18:50Z</dcterms:modified>
  <cp:revision>1593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