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楷体" w:hAnsi="楷体" w:eastAsia="楷体" w:cs="楷体"/>
                <w:sz w:val="24"/>
                <w:szCs w:val="24"/>
              </w:rPr>
              <w:t>九江市中佳实业有限公司</w:t>
            </w:r>
            <w:bookmarkEnd w:id="0"/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noWrap w:val="0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审核员： 伍光华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审核时间：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2020.11.18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审核条款：■ GB/T 19001:2016 idt ISO 9001:2015标准   不适用条款:8.3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□ GB/T 50430-2007标准   不适用条款: 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 GB/T 24001-2016 idt ISO 14001:2015标准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 GB/T 28001-2011 idt OHSAS 18001:2007标准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■客户管理体系文件   ■适用的法律法规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产品生产工作流程、适用标准和法规；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现场基础设施和工作环境是否具备提供产品和服务的能力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监视和测量资源</w:t>
            </w:r>
          </w:p>
          <w:p>
            <w:pPr>
              <w:pStyle w:val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12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特种设备</w:t>
            </w:r>
          </w:p>
          <w:p>
            <w:pPr>
              <w:pStyle w:val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设计和开发控制情况； </w:t>
            </w:r>
          </w:p>
          <w:p>
            <w:pPr>
              <w:pStyle w:val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生产和服务提供的控制、检验或验证要求是否策划充分、适宜；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方针、目标指标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内审和管理评审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组织机构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巡查现场</w:t>
            </w:r>
          </w:p>
          <w:p>
            <w:pPr>
              <w:spacing w:line="400" w:lineRule="exac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noWrap w:val="0"/>
            <w:vAlign w:val="top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磺化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稀释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沉降分层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溴化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精制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烘干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——入 库</w:t>
            </w:r>
          </w:p>
          <w:p>
            <w:pP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A组分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B组分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C组分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D组分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F组分</w:t>
            </w:r>
          </w:p>
          <w:p>
            <w:pP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A组分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color w:val="auto"/>
                <w:sz w:val="24"/>
                <w:szCs w:val="24"/>
                <w:lang w:val="en-US" w:eastAsia="zh-CN"/>
              </w:rPr>
              <w:t>B组分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特殊工序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。</w:t>
            </w:r>
          </w:p>
          <w:tbl>
            <w:tblPr>
              <w:tblStyle w:val="6"/>
              <w:tblW w:w="993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99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spacing w:line="240" w:lineRule="auto"/>
                    <w:ind w:firstLine="482" w:firstLineChars="200"/>
                    <w:rPr>
                      <w:rFonts w:hint="eastAsia" w:ascii="楷体" w:hAnsi="楷体" w:eastAsia="楷体" w:cs="楷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sz w:val="24"/>
                      <w:szCs w:val="24"/>
                    </w:rPr>
                    <w:t>适用的标准和法律法规:</w:t>
                  </w:r>
                </w:p>
                <w:p>
                  <w:pPr>
                    <w:autoSpaceDN w:val="0"/>
                    <w:spacing w:line="240" w:lineRule="auto"/>
                    <w:textAlignment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中华人民共和国产品质量法、中华人民共和国合同法、中华人民共和国招投标法、</w:t>
                  </w:r>
                </w:p>
                <w:p>
                  <w:pPr>
                    <w:autoSpaceDN w:val="0"/>
                    <w:spacing w:line="240" w:lineRule="auto"/>
                    <w:textAlignment w:val="center"/>
                    <w:rPr>
                      <w:rFonts w:hint="default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中华人民共和国安全法、中华人民共和国标准化法、GB/T 19000-2016质量管理体系 基和GB/T19001质量管理体系 要求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酸性蓝01BZQ25等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99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eastAsia" w:ascii="楷体" w:hAnsi="楷体" w:eastAsia="楷体" w:cs="楷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  <w:jc w:val="center"/>
              </w:trPr>
              <w:tc>
                <w:tcPr>
                  <w:tcW w:w="99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eastAsia" w:ascii="楷体" w:hAnsi="楷体" w:eastAsia="楷体" w:cs="楷体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40" w:lineRule="auto"/>
              <w:ind w:firstLine="480" w:firstLineChars="200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经现场查看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九江市中佳实业有限公司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，生产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经营地址:</w:t>
            </w:r>
            <w:bookmarkStart w:id="1" w:name="注册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江西省九江市湖口县金砂湾工业园柘矶路33号</w:t>
            </w:r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</w:rPr>
              <w:t>占地50000余平米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，厂内主要设备有: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搪玻璃</w:t>
            </w:r>
            <w:bookmarkStart w:id="2" w:name="_GoBack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反应罐</w:t>
            </w:r>
            <w:bookmarkEnd w:id="2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衬氟泵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混合精细均质泵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压榨泵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旋涡式自吸泵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钢衬防腐瓷砖罐、石墨冷凝器、桶式过滤器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现场基础设施和工作环境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能够满足产品和服务的需要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。</w:t>
            </w:r>
          </w:p>
          <w:p>
            <w:pPr>
              <w:pStyle w:val="13"/>
              <w:ind w:left="0" w:leftChars="0" w:right="42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电子天平、分光光度计、PH计、水份测定仪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液相色谱等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是监视或测量产品是否符合要求的测量设备，为保证结果有效可靠，测量设备送有资质的检测单价检测，可进行测量溯源。</w:t>
            </w:r>
          </w:p>
          <w:p>
            <w:pPr>
              <w:pStyle w:val="13"/>
              <w:ind w:left="360" w:right="42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8.3条款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不涉及，所有产品均按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客户要求和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相关标准生产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删减后不会对满足顾客要求和法规要求产生任何的影响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由生产部负责生产和服务提供的控制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公司以产品标准、服务质量标准、合同等确定产品和服务的要求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在生产和服务过程中建立相关准则：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600" w:firstLineChars="25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1、过程运行规范，如生产工艺，流程图，设计图，操作规程，检查、检验规程等；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600" w:firstLineChars="250"/>
              <w:jc w:val="left"/>
              <w:rPr>
                <w:rFonts w:hint="eastAsia" w:ascii="楷体" w:hAnsi="楷体" w:eastAsia="楷体" w:cs="楷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2、产品和服务的验证标准。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600" w:firstLineChars="25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3、资源配置要求；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600" w:firstLineChars="2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4、实施过程控制的规范；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600" w:firstLineChars="25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采购、销售及顾客满意度按控制规范（程序文件）执行，具体在二阶段审核关注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600" w:firstLineChars="250"/>
              <w:jc w:val="left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无多场所，注册地址与申报相一致。</w:t>
            </w:r>
          </w:p>
          <w:p>
            <w:pPr>
              <w:tabs>
                <w:tab w:val="right" w:pos="103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right" w:pos="103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一体化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方针：</w:t>
            </w:r>
          </w:p>
          <w:p>
            <w:pPr>
              <w:tabs>
                <w:tab w:val="right" w:pos="10380"/>
              </w:tabs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精益求精,以优质的产品谋求企业发展;  诚实守信,以一流的服务赢得客户满意。</w:t>
            </w:r>
          </w:p>
          <w:p>
            <w:pPr>
              <w:spacing w:line="400" w:lineRule="exact"/>
              <w:ind w:left="862"/>
              <w:rPr>
                <w:rFonts w:hint="eastAsia" w:ascii="楷体" w:hAnsi="楷体" w:eastAsia="楷体" w:cs="楷体"/>
                <w:b/>
                <w:bCs/>
                <w:spacing w:val="2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20"/>
                <w:sz w:val="24"/>
              </w:rPr>
              <w:t>质量目标：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1）产品一次交验合格率≥98 %;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2）出厂合格率100%；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3）顾客满意度不低于95分；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公司于20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2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日召开了管理评审会议，由总经理主持。提供管理评审报告，具体内容，二阶段进一步审核.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管理层、生产部、综合部、营销部、技术部、财务部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巡查现场办公环境、基础设施、消防设施，人员作业情况等，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确认企业现有人员149人，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确认二阶段资源配置情况。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具备二阶段审核的条件</w:t>
            </w:r>
          </w:p>
        </w:tc>
        <w:tc>
          <w:tcPr>
            <w:tcW w:w="1585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pStyle w:val="4"/>
      </w:pPr>
      <w:r>
        <w:rPr>
          <w:rFonts w:hint="eastAsia" w:ascii="楷体" w:hAnsi="楷体" w:eastAsia="楷体" w:cs="楷体"/>
          <w:sz w:val="24"/>
          <w:szCs w:val="24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D2CC4"/>
    <w:rsid w:val="0382004C"/>
    <w:rsid w:val="050364CE"/>
    <w:rsid w:val="06986B85"/>
    <w:rsid w:val="17FE2729"/>
    <w:rsid w:val="18172CA7"/>
    <w:rsid w:val="1CEF63A4"/>
    <w:rsid w:val="1EBD7090"/>
    <w:rsid w:val="1F7E2AC6"/>
    <w:rsid w:val="24BF0679"/>
    <w:rsid w:val="27C158B7"/>
    <w:rsid w:val="2C541505"/>
    <w:rsid w:val="3F3B6734"/>
    <w:rsid w:val="42C16685"/>
    <w:rsid w:val="4AA84582"/>
    <w:rsid w:val="4D7B0B23"/>
    <w:rsid w:val="5FCB4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2020-11-20T06:30:16Z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