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宋体"/>
          <w:b/>
          <w:sz w:val="22"/>
          <w:szCs w:val="22"/>
          <w:lang w:eastAsia="zh-CN"/>
        </w:rPr>
        <w:drawing>
          <wp:anchor distT="0" distB="0" distL="114300" distR="114300" simplePos="0" relativeHeight="251658240" behindDoc="0" locked="0" layoutInCell="1" allowOverlap="1">
            <wp:simplePos x="0" y="0"/>
            <wp:positionH relativeFrom="column">
              <wp:posOffset>-461010</wp:posOffset>
            </wp:positionH>
            <wp:positionV relativeFrom="paragraph">
              <wp:posOffset>-850900</wp:posOffset>
            </wp:positionV>
            <wp:extent cx="7033260" cy="10145395"/>
            <wp:effectExtent l="0" t="0" r="2540" b="1905"/>
            <wp:wrapNone/>
            <wp:docPr id="1" name="图片 1" descr="39ad7f6bec78171a6491894c4bde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ad7f6bec78171a6491894c4bde4da"/>
                    <pic:cNvPicPr>
                      <a:picLocks noChangeAspect="1"/>
                    </pic:cNvPicPr>
                  </pic:nvPicPr>
                  <pic:blipFill>
                    <a:blip r:embed="rId6"/>
                    <a:srcRect r="1599"/>
                    <a:stretch>
                      <a:fillRect/>
                    </a:stretch>
                  </pic:blipFill>
                  <pic:spPr>
                    <a:xfrm>
                      <a:off x="0" y="0"/>
                      <a:ext cx="7033260" cy="10145395"/>
                    </a:xfrm>
                    <a:prstGeom prst="rect">
                      <a:avLst/>
                    </a:prstGeom>
                  </pic:spPr>
                </pic:pic>
              </a:graphicData>
            </a:graphic>
          </wp:anchor>
        </w:drawing>
      </w: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西安硕隆计量检测有限公司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2"/>
                <w:szCs w:val="22"/>
                <w:lang w:val="en-US" w:eastAsia="zh-CN"/>
              </w:rPr>
              <w:t>补充现场审核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60" w:lineRule="auto"/>
              <w:ind w:left="70" w:leftChars="29"/>
              <w:rPr>
                <w:rFonts w:hint="eastAsia"/>
                <w:sz w:val="22"/>
                <w:szCs w:val="22"/>
              </w:rPr>
            </w:pPr>
            <w:r>
              <w:rPr>
                <w:rFonts w:hint="eastAsia"/>
                <w:sz w:val="22"/>
                <w:szCs w:val="22"/>
              </w:rPr>
              <w:t>李俐</w:t>
            </w:r>
          </w:p>
        </w:tc>
        <w:tc>
          <w:tcPr>
            <w:tcW w:w="1184" w:type="dxa"/>
            <w:vAlign w:val="center"/>
          </w:tcPr>
          <w:p>
            <w:pPr>
              <w:spacing w:line="360" w:lineRule="auto"/>
              <w:ind w:left="70" w:leftChars="29"/>
              <w:rPr>
                <w:rFonts w:hint="eastAsia"/>
                <w:sz w:val="22"/>
                <w:szCs w:val="22"/>
              </w:rPr>
            </w:pPr>
            <w:r>
              <w:rPr>
                <w:rFonts w:hint="eastAsia"/>
                <w:sz w:val="22"/>
                <w:szCs w:val="22"/>
              </w:rPr>
              <w:t>组长</w:t>
            </w:r>
          </w:p>
        </w:tc>
        <w:tc>
          <w:tcPr>
            <w:tcW w:w="5595" w:type="dxa"/>
            <w:gridSpan w:val="3"/>
            <w:vAlign w:val="center"/>
          </w:tcPr>
          <w:p>
            <w:pPr>
              <w:spacing w:line="360" w:lineRule="auto"/>
              <w:ind w:left="70" w:leftChars="29"/>
              <w:rPr>
                <w:rFonts w:hint="eastAsia"/>
                <w:sz w:val="22"/>
                <w:szCs w:val="22"/>
              </w:rPr>
            </w:pPr>
            <w:r>
              <w:rPr>
                <w:rFonts w:hint="eastAsia"/>
                <w:sz w:val="22"/>
                <w:szCs w:val="22"/>
              </w:rPr>
              <w:t>2018-N1QMS-1222792</w:t>
            </w:r>
          </w:p>
          <w:p>
            <w:pPr>
              <w:spacing w:line="360" w:lineRule="auto"/>
              <w:ind w:left="70" w:leftChars="29"/>
              <w:rPr>
                <w:rFonts w:hint="eastAsia"/>
                <w:sz w:val="22"/>
                <w:szCs w:val="22"/>
              </w:rPr>
            </w:pPr>
            <w:r>
              <w:rPr>
                <w:rFonts w:hint="eastAsia"/>
                <w:sz w:val="22"/>
                <w:szCs w:val="22"/>
              </w:rPr>
              <w:t>2018-N1EMS-1222792</w:t>
            </w:r>
          </w:p>
          <w:p>
            <w:pPr>
              <w:spacing w:line="360" w:lineRule="auto"/>
              <w:ind w:left="70" w:leftChars="29"/>
              <w:rPr>
                <w:rFonts w:hint="eastAsia"/>
                <w:sz w:val="22"/>
                <w:szCs w:val="22"/>
              </w:rPr>
            </w:pPr>
            <w:r>
              <w:rPr>
                <w:rFonts w:hint="eastAsia"/>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rFonts w:hint="eastAsia" w:eastAsia="宋体"/>
                <w:b/>
                <w:sz w:val="22"/>
                <w:szCs w:val="22"/>
                <w:lang w:eastAsia="zh-CN"/>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44171"/>
    <w:rsid w:val="3A5F1A16"/>
    <w:rsid w:val="67F47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85</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2020-11-28T11:13:17Z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