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480" w:lineRule="exact"/>
        <w:jc w:val="center"/>
        <w:rPr>
          <w:rFonts w:ascii="楷体" w:hAnsi="楷体" w:eastAsia="楷体"/>
          <w:bCs/>
          <w:sz w:val="36"/>
          <w:szCs w:val="36"/>
        </w:rPr>
      </w:pPr>
      <w:r>
        <w:rPr>
          <w:rFonts w:hint="eastAsia" w:ascii="楷体" w:hAnsi="楷体" w:eastAsia="楷体"/>
          <w:bCs/>
          <w:sz w:val="36"/>
          <w:szCs w:val="36"/>
        </w:rPr>
        <w:t>管理体系审核记录表</w:t>
      </w:r>
    </w:p>
    <w:tbl>
      <w:tblPr>
        <w:tblStyle w:val="11"/>
        <w:tblW w:w="14709"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809"/>
        <w:gridCol w:w="1311"/>
        <w:gridCol w:w="10237"/>
        <w:gridCol w:w="135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5" w:hRule="atLeast"/>
        </w:trPr>
        <w:tc>
          <w:tcPr>
            <w:tcW w:w="1809" w:type="dxa"/>
            <w:vMerge w:val="restart"/>
            <w:vAlign w:val="center"/>
          </w:tcPr>
          <w:p>
            <w:pPr>
              <w:spacing w:before="120"/>
              <w:jc w:val="center"/>
              <w:rPr>
                <w:rFonts w:ascii="楷体" w:hAnsi="楷体" w:eastAsia="楷体"/>
                <w:sz w:val="24"/>
                <w:szCs w:val="24"/>
              </w:rPr>
            </w:pPr>
            <w:r>
              <w:rPr>
                <w:rFonts w:hint="eastAsia" w:ascii="楷体" w:hAnsi="楷体" w:eastAsia="楷体"/>
                <w:sz w:val="24"/>
                <w:szCs w:val="24"/>
              </w:rPr>
              <w:t>过程与活动、</w:t>
            </w:r>
          </w:p>
          <w:p>
            <w:pPr>
              <w:jc w:val="center"/>
              <w:rPr>
                <w:rFonts w:ascii="楷体" w:hAnsi="楷体" w:eastAsia="楷体"/>
                <w:sz w:val="24"/>
                <w:szCs w:val="24"/>
              </w:rPr>
            </w:pPr>
            <w:r>
              <w:rPr>
                <w:rFonts w:hint="eastAsia" w:ascii="楷体" w:hAnsi="楷体" w:eastAsia="楷体"/>
                <w:sz w:val="24"/>
                <w:szCs w:val="24"/>
              </w:rPr>
              <w:t>抽样计划</w:t>
            </w:r>
          </w:p>
        </w:tc>
        <w:tc>
          <w:tcPr>
            <w:tcW w:w="1311" w:type="dxa"/>
            <w:vMerge w:val="restart"/>
            <w:vAlign w:val="center"/>
          </w:tcPr>
          <w:p>
            <w:pPr>
              <w:rPr>
                <w:rFonts w:ascii="楷体" w:hAnsi="楷体" w:eastAsia="楷体"/>
                <w:sz w:val="24"/>
                <w:szCs w:val="24"/>
              </w:rPr>
            </w:pPr>
            <w:r>
              <w:rPr>
                <w:rFonts w:hint="eastAsia" w:ascii="楷体" w:hAnsi="楷体" w:eastAsia="楷体"/>
                <w:sz w:val="24"/>
                <w:szCs w:val="24"/>
              </w:rPr>
              <w:t>涉及条款</w:t>
            </w:r>
          </w:p>
        </w:tc>
        <w:tc>
          <w:tcPr>
            <w:tcW w:w="10237" w:type="dxa"/>
            <w:vAlign w:val="center"/>
          </w:tcPr>
          <w:p>
            <w:pPr>
              <w:rPr>
                <w:rFonts w:ascii="楷体" w:hAnsi="楷体" w:eastAsia="楷体"/>
                <w:sz w:val="24"/>
                <w:szCs w:val="24"/>
              </w:rPr>
            </w:pPr>
            <w:r>
              <w:rPr>
                <w:rFonts w:hint="eastAsia" w:ascii="楷体" w:hAnsi="楷体" w:eastAsia="楷体"/>
                <w:sz w:val="24"/>
                <w:szCs w:val="24"/>
              </w:rPr>
              <w:t>受审核部门：质量技术部      主管领导：李楠     陪同人员：孟宏伟</w:t>
            </w:r>
          </w:p>
        </w:tc>
        <w:tc>
          <w:tcPr>
            <w:tcW w:w="1352" w:type="dxa"/>
            <w:vMerge w:val="restart"/>
            <w:vAlign w:val="center"/>
          </w:tcPr>
          <w:p>
            <w:pPr>
              <w:rPr>
                <w:rFonts w:ascii="楷体" w:hAnsi="楷体" w:eastAsia="楷体"/>
                <w:sz w:val="24"/>
                <w:szCs w:val="24"/>
              </w:rPr>
            </w:pPr>
            <w:r>
              <w:rPr>
                <w:rFonts w:hint="eastAsia" w:ascii="楷体" w:hAnsi="楷体" w:eastAsia="楷体"/>
                <w:sz w:val="24"/>
                <w:szCs w:val="24"/>
              </w:rPr>
              <w:t>判定</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809" w:type="dxa"/>
            <w:vMerge w:val="continue"/>
            <w:vAlign w:val="center"/>
          </w:tcPr>
          <w:p>
            <w:pPr>
              <w:rPr>
                <w:rFonts w:ascii="楷体" w:hAnsi="楷体" w:eastAsia="楷体"/>
                <w:sz w:val="24"/>
                <w:szCs w:val="24"/>
              </w:rPr>
            </w:pPr>
          </w:p>
        </w:tc>
        <w:tc>
          <w:tcPr>
            <w:tcW w:w="1311" w:type="dxa"/>
            <w:vMerge w:val="continue"/>
            <w:vAlign w:val="center"/>
          </w:tcPr>
          <w:p>
            <w:pPr>
              <w:rPr>
                <w:rFonts w:ascii="楷体" w:hAnsi="楷体" w:eastAsia="楷体"/>
                <w:sz w:val="24"/>
                <w:szCs w:val="24"/>
              </w:rPr>
            </w:pPr>
          </w:p>
        </w:tc>
        <w:tc>
          <w:tcPr>
            <w:tcW w:w="10237" w:type="dxa"/>
            <w:vAlign w:val="center"/>
          </w:tcPr>
          <w:p>
            <w:pPr>
              <w:spacing w:before="120"/>
              <w:rPr>
                <w:rFonts w:hint="default" w:ascii="楷体" w:hAnsi="楷体" w:eastAsia="楷体"/>
                <w:sz w:val="24"/>
                <w:szCs w:val="24"/>
                <w:lang w:val="en-US" w:eastAsia="zh-CN"/>
              </w:rPr>
            </w:pPr>
            <w:r>
              <w:rPr>
                <w:rFonts w:hint="eastAsia" w:ascii="楷体" w:hAnsi="楷体" w:eastAsia="楷体"/>
                <w:sz w:val="24"/>
                <w:szCs w:val="24"/>
              </w:rPr>
              <w:t>审核员：李俐          审核时间：2020.</w:t>
            </w:r>
            <w:r>
              <w:rPr>
                <w:rFonts w:hint="eastAsia" w:ascii="楷体" w:hAnsi="楷体" w:eastAsia="楷体"/>
                <w:sz w:val="24"/>
                <w:szCs w:val="24"/>
                <w:lang w:val="en-US" w:eastAsia="zh-CN"/>
              </w:rPr>
              <w:t>11</w:t>
            </w:r>
            <w:r>
              <w:rPr>
                <w:rFonts w:hint="eastAsia" w:ascii="楷体" w:hAnsi="楷体" w:eastAsia="楷体"/>
                <w:sz w:val="24"/>
                <w:szCs w:val="24"/>
              </w:rPr>
              <w:t>.</w:t>
            </w:r>
            <w:r>
              <w:rPr>
                <w:rFonts w:hint="eastAsia" w:ascii="楷体" w:hAnsi="楷体" w:eastAsia="楷体"/>
                <w:sz w:val="24"/>
                <w:szCs w:val="24"/>
                <w:lang w:val="en-US" w:eastAsia="zh-CN"/>
              </w:rPr>
              <w:t>14</w:t>
            </w:r>
          </w:p>
        </w:tc>
        <w:tc>
          <w:tcPr>
            <w:tcW w:w="1352"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16" w:hRule="atLeast"/>
        </w:trPr>
        <w:tc>
          <w:tcPr>
            <w:tcW w:w="1809" w:type="dxa"/>
            <w:vMerge w:val="continue"/>
            <w:vAlign w:val="center"/>
          </w:tcPr>
          <w:p>
            <w:pPr>
              <w:rPr>
                <w:rFonts w:ascii="楷体" w:hAnsi="楷体" w:eastAsia="楷体"/>
                <w:sz w:val="24"/>
                <w:szCs w:val="24"/>
              </w:rPr>
            </w:pPr>
          </w:p>
        </w:tc>
        <w:tc>
          <w:tcPr>
            <w:tcW w:w="1311" w:type="dxa"/>
            <w:vMerge w:val="continue"/>
            <w:vAlign w:val="center"/>
          </w:tcPr>
          <w:p>
            <w:pPr>
              <w:rPr>
                <w:rFonts w:ascii="楷体" w:hAnsi="楷体" w:eastAsia="楷体"/>
                <w:sz w:val="24"/>
                <w:szCs w:val="24"/>
              </w:rPr>
            </w:pPr>
          </w:p>
        </w:tc>
        <w:tc>
          <w:tcPr>
            <w:tcW w:w="10237" w:type="dxa"/>
            <w:vAlign w:val="center"/>
          </w:tcPr>
          <w:p>
            <w:r>
              <w:rPr>
                <w:rFonts w:hint="eastAsia"/>
              </w:rPr>
              <w:t>审核条款：</w:t>
            </w:r>
          </w:p>
          <w:p>
            <w:pPr>
              <w:adjustRightInd w:val="0"/>
              <w:snapToGrid w:val="0"/>
              <w:spacing w:line="360" w:lineRule="auto"/>
              <w:ind w:right="105" w:rightChars="50"/>
              <w:jc w:val="left"/>
              <w:textAlignment w:val="baseline"/>
              <w:rPr>
                <w:szCs w:val="22"/>
              </w:rPr>
            </w:pPr>
            <w:r>
              <w:rPr>
                <w:rFonts w:hint="eastAsia"/>
              </w:rPr>
              <w:t>Q: 5.3、6.2、7.1.3、7.1.4、7.1.5、8.1、8</w:t>
            </w:r>
            <w:r>
              <w:rPr>
                <w:rFonts w:hint="eastAsia"/>
                <w:szCs w:val="22"/>
              </w:rPr>
              <w:t>.3、8.5.1、8.5.2、8.5.3、8.5.4、8.5.5、8.5.6，8.6、8.7</w:t>
            </w:r>
          </w:p>
          <w:p>
            <w:pPr>
              <w:adjustRightInd w:val="0"/>
              <w:snapToGrid w:val="0"/>
              <w:spacing w:line="360" w:lineRule="auto"/>
              <w:ind w:right="105" w:rightChars="50"/>
              <w:jc w:val="left"/>
              <w:textAlignment w:val="baseline"/>
              <w:rPr>
                <w:szCs w:val="22"/>
              </w:rPr>
            </w:pPr>
            <w:r>
              <w:rPr>
                <w:rFonts w:hint="eastAsia"/>
                <w:szCs w:val="22"/>
              </w:rPr>
              <w:t>E:5.3；6.2；6.1.2；8.1；8.2</w:t>
            </w:r>
          </w:p>
          <w:p>
            <w:pPr>
              <w:adjustRightInd w:val="0"/>
              <w:snapToGrid w:val="0"/>
              <w:spacing w:line="360" w:lineRule="auto"/>
              <w:ind w:right="105" w:rightChars="50"/>
              <w:jc w:val="left"/>
              <w:textAlignment w:val="baseline"/>
            </w:pPr>
            <w:r>
              <w:rPr>
                <w:rFonts w:hint="eastAsia"/>
              </w:rPr>
              <w:t>O:5.3；6.2；6.1.2；8.1；8.2</w:t>
            </w:r>
          </w:p>
        </w:tc>
        <w:tc>
          <w:tcPr>
            <w:tcW w:w="1352" w:type="dxa"/>
            <w:vMerge w:val="continue"/>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ascii="楷体" w:hAnsi="楷体" w:eastAsia="楷体"/>
                <w:sz w:val="24"/>
                <w:szCs w:val="24"/>
              </w:rPr>
            </w:pPr>
            <w:r>
              <w:rPr>
                <w:rFonts w:hint="eastAsia" w:ascii="楷体" w:hAnsi="楷体" w:eastAsia="楷体"/>
                <w:sz w:val="24"/>
                <w:szCs w:val="24"/>
              </w:rPr>
              <w:t>职责权限、</w:t>
            </w:r>
          </w:p>
        </w:tc>
        <w:tc>
          <w:tcPr>
            <w:tcW w:w="1311" w:type="dxa"/>
          </w:tcPr>
          <w:p>
            <w:pPr>
              <w:snapToGrid w:val="0"/>
              <w:spacing w:line="360" w:lineRule="auto"/>
              <w:rPr>
                <w:rFonts w:ascii="楷体" w:hAnsi="楷体" w:eastAsia="楷体" w:cs="宋体"/>
                <w:sz w:val="24"/>
                <w:szCs w:val="24"/>
              </w:rPr>
            </w:pPr>
          </w:p>
          <w:p>
            <w:pPr>
              <w:snapToGrid w:val="0"/>
              <w:spacing w:line="360" w:lineRule="auto"/>
              <w:rPr>
                <w:rFonts w:ascii="楷体" w:hAnsi="楷体" w:eastAsia="楷体" w:cs="宋体"/>
                <w:sz w:val="24"/>
                <w:szCs w:val="24"/>
              </w:rPr>
            </w:pPr>
          </w:p>
          <w:p>
            <w:pPr>
              <w:pStyle w:val="2"/>
              <w:rPr>
                <w:rFonts w:ascii="楷体" w:hAnsi="楷体" w:eastAsia="楷体" w:cs="宋体"/>
                <w:sz w:val="24"/>
                <w:szCs w:val="24"/>
              </w:rPr>
            </w:pPr>
          </w:p>
          <w:p>
            <w:pPr>
              <w:pStyle w:val="3"/>
              <w:rPr>
                <w:rFonts w:ascii="楷体" w:hAnsi="楷体" w:eastAsia="楷体" w:cs="宋体"/>
                <w:sz w:val="24"/>
                <w:szCs w:val="24"/>
              </w:rPr>
            </w:pPr>
          </w:p>
          <w:p>
            <w:pPr>
              <w:pStyle w:val="3"/>
              <w:rPr>
                <w:rFonts w:ascii="楷体" w:hAnsi="楷体" w:eastAsia="楷体" w:cs="宋体"/>
                <w:sz w:val="24"/>
                <w:szCs w:val="24"/>
              </w:rPr>
            </w:pPr>
          </w:p>
          <w:p>
            <w:pPr>
              <w:spacing w:line="360" w:lineRule="auto"/>
              <w:rPr>
                <w:rFonts w:ascii="楷体" w:hAnsi="楷体" w:eastAsia="楷体" w:cs="宋体"/>
                <w:color w:val="000000"/>
                <w:kern w:val="0"/>
                <w:sz w:val="24"/>
                <w:szCs w:val="24"/>
              </w:rPr>
            </w:pPr>
            <w:r>
              <w:rPr>
                <w:rFonts w:hint="eastAsia" w:ascii="楷体" w:hAnsi="楷体" w:eastAsia="楷体" w:cs="宋体"/>
                <w:color w:val="000000"/>
                <w:kern w:val="0"/>
                <w:sz w:val="24"/>
                <w:szCs w:val="24"/>
              </w:rPr>
              <w:t>QEO：5.3</w:t>
            </w:r>
          </w:p>
          <w:p>
            <w:pPr>
              <w:snapToGrid w:val="0"/>
              <w:spacing w:line="360" w:lineRule="auto"/>
              <w:rPr>
                <w:rFonts w:ascii="楷体" w:hAnsi="楷体" w:eastAsia="楷体" w:cs="宋体"/>
                <w:sz w:val="24"/>
                <w:szCs w:val="24"/>
              </w:rPr>
            </w:pPr>
          </w:p>
          <w:p>
            <w:pPr>
              <w:snapToGrid w:val="0"/>
              <w:spacing w:line="360" w:lineRule="auto"/>
              <w:rPr>
                <w:rFonts w:ascii="楷体" w:hAnsi="楷体" w:eastAsia="楷体" w:cs="宋体"/>
                <w:sz w:val="24"/>
                <w:szCs w:val="24"/>
              </w:rPr>
            </w:pPr>
            <w:r>
              <w:rPr>
                <w:rFonts w:hint="eastAsia" w:ascii="楷体" w:hAnsi="楷体" w:eastAsia="楷体" w:cs="宋体"/>
                <w:bCs/>
                <w:sz w:val="24"/>
                <w:szCs w:val="24"/>
              </w:rPr>
              <w:t xml:space="preserve"> </w:t>
            </w:r>
            <w:r>
              <w:rPr>
                <w:rFonts w:ascii="楷体" w:hAnsi="楷体" w:eastAsia="楷体" w:cs="宋体"/>
                <w:sz w:val="24"/>
                <w:szCs w:val="24"/>
              </w:rPr>
              <w:t xml:space="preserve"> </w:t>
            </w:r>
          </w:p>
        </w:tc>
        <w:tc>
          <w:tcPr>
            <w:tcW w:w="10237" w:type="dxa"/>
          </w:tcPr>
          <w:p>
            <w:pPr>
              <w:spacing w:line="360" w:lineRule="auto"/>
              <w:rPr>
                <w:szCs w:val="21"/>
              </w:rPr>
            </w:pPr>
            <w:r>
              <w:rPr>
                <w:rFonts w:hint="eastAsia"/>
                <w:szCs w:val="21"/>
              </w:rPr>
              <w:t>询问质量技术部负责人李楠，能明确本人在质量管理体系方面的职责：</w:t>
            </w:r>
            <w:r>
              <w:rPr>
                <w:szCs w:val="21"/>
              </w:rPr>
              <w:t>基础设施管理</w:t>
            </w:r>
            <w:r>
              <w:rPr>
                <w:rFonts w:hint="eastAsia"/>
                <w:szCs w:val="21"/>
              </w:rPr>
              <w:t>、</w:t>
            </w:r>
            <w:r>
              <w:rPr>
                <w:szCs w:val="21"/>
              </w:rPr>
              <w:t>工作环境管理</w:t>
            </w:r>
            <w:r>
              <w:rPr>
                <w:rFonts w:hint="eastAsia"/>
                <w:szCs w:val="21"/>
              </w:rPr>
              <w:t>、运行策划和控制、产品设计开发服务提供的控制。</w:t>
            </w:r>
          </w:p>
          <w:p>
            <w:pPr>
              <w:snapToGrid w:val="0"/>
              <w:spacing w:line="360" w:lineRule="auto"/>
              <w:rPr>
                <w:szCs w:val="21"/>
              </w:rPr>
            </w:pPr>
            <w:r>
              <w:rPr>
                <w:rFonts w:hint="eastAsia" w:ascii="宋体" w:hAnsi="宋体" w:cs="新宋体"/>
                <w:szCs w:val="21"/>
              </w:rPr>
              <w:t>询问主要职责：</w:t>
            </w:r>
          </w:p>
          <w:p>
            <w:pPr>
              <w:pStyle w:val="20"/>
              <w:numPr>
                <w:ilvl w:val="0"/>
                <w:numId w:val="1"/>
              </w:numPr>
              <w:snapToGrid w:val="0"/>
              <w:spacing w:line="360" w:lineRule="auto"/>
              <w:jc w:val="both"/>
              <w:rPr>
                <w:rFonts w:ascii="宋体" w:hAnsi="宋体"/>
                <w:sz w:val="21"/>
                <w:szCs w:val="21"/>
              </w:rPr>
            </w:pPr>
            <w:r>
              <w:rPr>
                <w:rFonts w:ascii="宋体" w:hAnsi="宋体"/>
                <w:sz w:val="21"/>
                <w:szCs w:val="21"/>
              </w:rPr>
              <w:t>在负责人领导下，确保质量管理体系</w:t>
            </w:r>
            <w:r>
              <w:rPr>
                <w:rFonts w:hint="eastAsia" w:ascii="宋体" w:hAnsi="宋体"/>
                <w:sz w:val="21"/>
                <w:szCs w:val="21"/>
              </w:rPr>
              <w:t>运行及</w:t>
            </w:r>
            <w:r>
              <w:rPr>
                <w:rFonts w:hint="eastAsia" w:asciiTheme="majorEastAsia" w:hAnsiTheme="majorEastAsia" w:eastAsiaTheme="majorEastAsia" w:cstheme="majorEastAsia"/>
                <w:sz w:val="21"/>
                <w:szCs w:val="21"/>
              </w:rPr>
              <w:t>相关环境、职业健康安全管理活动的实施与执行。</w:t>
            </w:r>
          </w:p>
          <w:p>
            <w:pPr>
              <w:pStyle w:val="20"/>
              <w:numPr>
                <w:ilvl w:val="0"/>
                <w:numId w:val="1"/>
              </w:numPr>
              <w:snapToGrid w:val="0"/>
              <w:spacing w:line="360" w:lineRule="auto"/>
              <w:jc w:val="both"/>
              <w:rPr>
                <w:rFonts w:ascii="宋体" w:hAnsi="宋体"/>
                <w:sz w:val="21"/>
                <w:szCs w:val="21"/>
              </w:rPr>
            </w:pPr>
            <w:r>
              <w:rPr>
                <w:rFonts w:ascii="宋体" w:hAnsi="宋体"/>
                <w:sz w:val="21"/>
                <w:szCs w:val="21"/>
              </w:rPr>
              <w:t>负责本公司管理体系文件的编制</w:t>
            </w:r>
            <w:r>
              <w:rPr>
                <w:rFonts w:hint="eastAsia" w:ascii="宋体" w:hAnsi="宋体"/>
                <w:sz w:val="21"/>
                <w:szCs w:val="21"/>
              </w:rPr>
              <w:t>；</w:t>
            </w:r>
          </w:p>
          <w:p>
            <w:pPr>
              <w:pStyle w:val="20"/>
              <w:numPr>
                <w:ilvl w:val="0"/>
                <w:numId w:val="1"/>
              </w:numPr>
              <w:snapToGrid w:val="0"/>
              <w:spacing w:line="360" w:lineRule="auto"/>
              <w:jc w:val="both"/>
              <w:rPr>
                <w:rFonts w:ascii="宋体" w:hAnsi="宋体"/>
                <w:sz w:val="21"/>
                <w:szCs w:val="21"/>
              </w:rPr>
            </w:pPr>
            <w:r>
              <w:rPr>
                <w:rFonts w:ascii="宋体" w:hAnsi="宋体"/>
                <w:sz w:val="21"/>
                <w:szCs w:val="21"/>
              </w:rPr>
              <w:t>协助负责人完成内部审核工作，并负责组织实施；</w:t>
            </w:r>
          </w:p>
          <w:p>
            <w:pPr>
              <w:pStyle w:val="20"/>
              <w:numPr>
                <w:ilvl w:val="0"/>
                <w:numId w:val="1"/>
              </w:numPr>
              <w:snapToGrid w:val="0"/>
              <w:spacing w:line="360" w:lineRule="auto"/>
              <w:jc w:val="both"/>
              <w:rPr>
                <w:rFonts w:ascii="宋体" w:hAnsi="宋体" w:cs="Arial"/>
                <w:sz w:val="21"/>
                <w:szCs w:val="21"/>
              </w:rPr>
            </w:pPr>
            <w:r>
              <w:rPr>
                <w:rFonts w:hint="eastAsia" w:ascii="宋体" w:hAnsi="宋体" w:cs="Arial"/>
                <w:sz w:val="21"/>
                <w:szCs w:val="21"/>
              </w:rPr>
              <w:t>负责证书/报告的编制工作；</w:t>
            </w:r>
          </w:p>
          <w:p>
            <w:pPr>
              <w:pStyle w:val="20"/>
              <w:numPr>
                <w:ilvl w:val="0"/>
                <w:numId w:val="1"/>
              </w:numPr>
              <w:snapToGrid w:val="0"/>
              <w:spacing w:line="360" w:lineRule="auto"/>
              <w:jc w:val="both"/>
              <w:rPr>
                <w:rFonts w:ascii="宋体" w:hAnsi="宋体" w:cs="Arial"/>
                <w:sz w:val="21"/>
                <w:szCs w:val="21"/>
              </w:rPr>
            </w:pPr>
            <w:r>
              <w:rPr>
                <w:rFonts w:hint="eastAsia" w:ascii="宋体" w:hAnsi="宋体" w:cs="Arial"/>
                <w:sz w:val="21"/>
                <w:szCs w:val="21"/>
              </w:rPr>
              <w:t>全面负责本公司技术工作管理，贯彻执行《检测和校准实验室能力认可准则》及相关要求和持续改进管理体系有效性；</w:t>
            </w:r>
          </w:p>
          <w:p>
            <w:pPr>
              <w:pStyle w:val="20"/>
              <w:numPr>
                <w:ilvl w:val="0"/>
                <w:numId w:val="1"/>
              </w:numPr>
              <w:snapToGrid w:val="0"/>
              <w:spacing w:line="360" w:lineRule="auto"/>
              <w:jc w:val="both"/>
              <w:rPr>
                <w:rFonts w:ascii="宋体" w:hAnsi="宋体" w:cs="Arial"/>
                <w:sz w:val="21"/>
                <w:szCs w:val="21"/>
              </w:rPr>
            </w:pPr>
            <w:r>
              <w:rPr>
                <w:rFonts w:hint="eastAsia" w:ascii="宋体" w:hAnsi="宋体" w:cs="Arial"/>
                <w:sz w:val="21"/>
                <w:szCs w:val="21"/>
              </w:rPr>
              <w:t>负责本公司技术作业指导文件、技术记录表格、第三层文件的批准及相关体系文件的审核；</w:t>
            </w:r>
          </w:p>
          <w:p>
            <w:pPr>
              <w:pStyle w:val="2"/>
            </w:pPr>
            <w:r>
              <w:rPr>
                <w:rFonts w:hint="eastAsia" w:ascii="宋体" w:hAnsi="宋体" w:cs="Arial"/>
                <w:b w:val="0"/>
                <w:bCs w:val="0"/>
                <w:color w:val="000000"/>
                <w:kern w:val="0"/>
                <w:sz w:val="21"/>
                <w:szCs w:val="21"/>
              </w:rPr>
              <w:t>部门职责清晰、明确。市场开发部负责人能基本阐述本部门的主要职责。</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55" w:hRule="atLeast"/>
        </w:trPr>
        <w:tc>
          <w:tcPr>
            <w:tcW w:w="1809" w:type="dxa"/>
            <w:vAlign w:val="center"/>
          </w:tcPr>
          <w:p>
            <w:pPr>
              <w:spacing w:line="360" w:lineRule="auto"/>
              <w:rPr>
                <w:rFonts w:ascii="楷体" w:hAnsi="楷体" w:eastAsia="楷体"/>
                <w:sz w:val="24"/>
                <w:szCs w:val="24"/>
              </w:rPr>
            </w:pPr>
            <w:r>
              <w:rPr>
                <w:rFonts w:hint="eastAsia" w:ascii="楷体" w:hAnsi="楷体" w:eastAsia="楷体"/>
                <w:sz w:val="24"/>
                <w:szCs w:val="24"/>
              </w:rPr>
              <w:t>目标、方案</w:t>
            </w:r>
          </w:p>
        </w:tc>
        <w:tc>
          <w:tcPr>
            <w:tcW w:w="1311" w:type="dxa"/>
            <w:vAlign w:val="center"/>
          </w:tcPr>
          <w:p>
            <w:pPr>
              <w:rPr>
                <w:rFonts w:ascii="楷体" w:hAnsi="楷体" w:eastAsia="楷体" w:cs="楷体"/>
                <w:sz w:val="24"/>
                <w:szCs w:val="24"/>
              </w:rPr>
            </w:pPr>
            <w:r>
              <w:rPr>
                <w:rFonts w:hint="eastAsia" w:ascii="楷体" w:hAnsi="楷体" w:eastAsia="楷体" w:cs="宋体"/>
                <w:color w:val="000000"/>
                <w:kern w:val="0"/>
                <w:sz w:val="24"/>
                <w:szCs w:val="24"/>
              </w:rPr>
              <w:t>QEO：6.2</w:t>
            </w:r>
          </w:p>
        </w:tc>
        <w:tc>
          <w:tcPr>
            <w:tcW w:w="10237" w:type="dxa"/>
            <w:vAlign w:val="center"/>
          </w:tcPr>
          <w:p>
            <w:pPr>
              <w:spacing w:line="360" w:lineRule="auto"/>
              <w:rPr>
                <w:rFonts w:ascii="宋体" w:hAnsi="宋体" w:cs="宋体"/>
                <w:szCs w:val="21"/>
              </w:rPr>
            </w:pPr>
            <w:r>
              <w:rPr>
                <w:rFonts w:hint="eastAsia" w:ascii="宋体" w:hAnsi="宋体" w:cs="宋体"/>
                <w:szCs w:val="21"/>
              </w:rPr>
              <w:t xml:space="preserve">部门目标：  </w:t>
            </w:r>
          </w:p>
          <w:p>
            <w:pPr>
              <w:numPr>
                <w:ilvl w:val="0"/>
                <w:numId w:val="2"/>
              </w:numPr>
              <w:spacing w:line="360" w:lineRule="auto"/>
              <w:rPr>
                <w:rFonts w:ascii="宋体" w:hAnsi="宋体" w:cs="宋体"/>
                <w:szCs w:val="21"/>
              </w:rPr>
            </w:pPr>
            <w:r>
              <w:rPr>
                <w:rFonts w:hint="eastAsia" w:ascii="宋体" w:hAnsi="宋体" w:cs="宋体"/>
                <w:szCs w:val="21"/>
              </w:rPr>
              <w:t>产品设计按计划完成率100%；</w:t>
            </w:r>
          </w:p>
          <w:p>
            <w:pPr>
              <w:spacing w:line="360" w:lineRule="auto"/>
              <w:rPr>
                <w:rFonts w:ascii="宋体" w:hAnsi="宋体" w:cs="宋体"/>
                <w:szCs w:val="21"/>
              </w:rPr>
            </w:pPr>
            <w:r>
              <w:rPr>
                <w:rFonts w:hint="eastAsia" w:ascii="宋体" w:hAnsi="宋体" w:cs="宋体"/>
                <w:szCs w:val="21"/>
              </w:rPr>
              <w:t>2）技术文件的准确率100%；</w:t>
            </w:r>
          </w:p>
          <w:p>
            <w:pPr>
              <w:spacing w:line="360" w:lineRule="auto"/>
              <w:rPr>
                <w:rFonts w:ascii="宋体" w:hAnsi="宋体" w:cs="宋体"/>
                <w:b/>
                <w:szCs w:val="21"/>
              </w:rPr>
            </w:pPr>
            <w:r>
              <w:rPr>
                <w:rFonts w:hint="eastAsia" w:ascii="宋体" w:hAnsi="宋体" w:cs="宋体"/>
                <w:kern w:val="0"/>
                <w:szCs w:val="21"/>
              </w:rPr>
              <w:t>3）噪声、污水排放符合所在地标准；</w:t>
            </w:r>
          </w:p>
          <w:p>
            <w:pPr>
              <w:spacing w:line="360" w:lineRule="auto"/>
              <w:rPr>
                <w:rFonts w:ascii="宋体" w:hAnsi="宋体" w:cs="宋体"/>
                <w:kern w:val="0"/>
                <w:szCs w:val="21"/>
              </w:rPr>
            </w:pPr>
            <w:r>
              <w:rPr>
                <w:rFonts w:hint="eastAsia" w:ascii="宋体" w:hAnsi="宋体" w:cs="宋体"/>
                <w:kern w:val="0"/>
                <w:szCs w:val="21"/>
              </w:rPr>
              <w:t>4）避免危险有害废弃物违规排放，按规定</w:t>
            </w:r>
            <w:r>
              <w:rPr>
                <w:rFonts w:hint="eastAsia" w:ascii="宋体" w:hAnsi="宋体" w:cs="宋体"/>
                <w:bCs/>
                <w:szCs w:val="21"/>
              </w:rPr>
              <w:t>对其分类处理率</w:t>
            </w:r>
            <w:r>
              <w:rPr>
                <w:rFonts w:hint="eastAsia" w:ascii="宋体" w:hAnsi="宋体" w:cs="宋体"/>
                <w:kern w:val="0"/>
                <w:szCs w:val="21"/>
              </w:rPr>
              <w:t>100%；</w:t>
            </w:r>
          </w:p>
          <w:p>
            <w:pPr>
              <w:spacing w:line="360" w:lineRule="auto"/>
              <w:rPr>
                <w:rFonts w:ascii="宋体" w:hAnsi="宋体" w:cs="宋体"/>
                <w:b/>
                <w:szCs w:val="21"/>
              </w:rPr>
            </w:pPr>
            <w:r>
              <w:rPr>
                <w:rFonts w:hint="eastAsia" w:ascii="宋体" w:hAnsi="宋体" w:cs="宋体"/>
                <w:kern w:val="0"/>
                <w:szCs w:val="21"/>
              </w:rPr>
              <w:t>5）适用环境及职业健康安全法规和其他要求符合率100%；</w:t>
            </w:r>
          </w:p>
          <w:p>
            <w:pPr>
              <w:spacing w:line="360" w:lineRule="auto"/>
              <w:rPr>
                <w:rFonts w:ascii="宋体" w:hAnsi="宋体" w:cs="宋体"/>
                <w:kern w:val="0"/>
                <w:szCs w:val="21"/>
              </w:rPr>
            </w:pPr>
            <w:r>
              <w:rPr>
                <w:rFonts w:hint="eastAsia" w:ascii="宋体" w:hAnsi="宋体" w:cs="宋体"/>
                <w:szCs w:val="21"/>
              </w:rPr>
              <w:t>6）</w:t>
            </w:r>
            <w:r>
              <w:rPr>
                <w:rFonts w:hint="eastAsia" w:ascii="宋体" w:hAnsi="宋体" w:cs="宋体"/>
                <w:kern w:val="0"/>
                <w:szCs w:val="21"/>
              </w:rPr>
              <w:t>重大环境污染事故为零；</w:t>
            </w:r>
          </w:p>
          <w:p>
            <w:pPr>
              <w:spacing w:line="360" w:lineRule="auto"/>
              <w:rPr>
                <w:rFonts w:ascii="宋体" w:hAnsi="宋体" w:cs="宋体"/>
                <w:szCs w:val="21"/>
              </w:rPr>
            </w:pPr>
            <w:r>
              <w:rPr>
                <w:rFonts w:hint="eastAsia" w:ascii="宋体" w:hAnsi="宋体" w:cs="宋体"/>
                <w:kern w:val="0"/>
                <w:szCs w:val="21"/>
              </w:rPr>
              <w:t>7）确保相关方在环保及职业健康安全方面零投诉；</w:t>
            </w:r>
          </w:p>
          <w:p>
            <w:pPr>
              <w:spacing w:line="360" w:lineRule="auto"/>
              <w:rPr>
                <w:rFonts w:ascii="宋体" w:hAnsi="宋体" w:cs="宋体"/>
                <w:kern w:val="0"/>
                <w:szCs w:val="21"/>
              </w:rPr>
            </w:pPr>
            <w:r>
              <w:rPr>
                <w:rFonts w:hint="eastAsia" w:ascii="宋体" w:hAnsi="宋体" w:cs="宋体"/>
                <w:szCs w:val="21"/>
              </w:rPr>
              <w:t>8）</w:t>
            </w:r>
            <w:r>
              <w:rPr>
                <w:rFonts w:hint="eastAsia" w:ascii="宋体" w:hAnsi="宋体" w:cs="宋体"/>
                <w:kern w:val="0"/>
                <w:szCs w:val="21"/>
              </w:rPr>
              <w:t>年度火灾和重大安全事故（死亡、重伤）发生率为零；</w:t>
            </w:r>
          </w:p>
          <w:p>
            <w:pPr>
              <w:spacing w:line="360" w:lineRule="auto"/>
              <w:rPr>
                <w:rFonts w:ascii="宋体" w:hAnsi="宋体" w:cs="宋体"/>
                <w:bCs/>
                <w:szCs w:val="21"/>
              </w:rPr>
            </w:pPr>
            <w:r>
              <w:rPr>
                <w:rFonts w:hint="eastAsia" w:ascii="宋体" w:hAnsi="宋体" w:cs="宋体"/>
                <w:szCs w:val="21"/>
              </w:rPr>
              <w:t>9）</w:t>
            </w:r>
            <w:r>
              <w:rPr>
                <w:rFonts w:hint="eastAsia" w:ascii="宋体" w:hAnsi="宋体" w:cs="宋体"/>
                <w:kern w:val="0"/>
                <w:szCs w:val="21"/>
              </w:rPr>
              <w:t>年度轻伤事故发生率控制低于1起</w:t>
            </w:r>
            <w:r>
              <w:rPr>
                <w:rFonts w:hint="eastAsia" w:ascii="宋体" w:hAnsi="宋体" w:cs="宋体"/>
                <w:bCs/>
                <w:szCs w:val="21"/>
              </w:rPr>
              <w:t>。</w:t>
            </w:r>
          </w:p>
          <w:p>
            <w:pPr>
              <w:spacing w:line="360" w:lineRule="auto"/>
              <w:rPr>
                <w:rFonts w:ascii="宋体" w:hAnsi="宋体" w:cs="宋体"/>
                <w:szCs w:val="21"/>
              </w:rPr>
            </w:pPr>
            <w:r>
              <w:rPr>
                <w:rFonts w:hint="eastAsia" w:ascii="宋体" w:hAnsi="宋体" w:cs="宋体"/>
                <w:kern w:val="0"/>
                <w:szCs w:val="21"/>
              </w:rPr>
              <w:t>10）员工职业病为零。</w:t>
            </w:r>
          </w:p>
          <w:p>
            <w:pPr>
              <w:pStyle w:val="20"/>
              <w:snapToGrid w:val="0"/>
              <w:spacing w:line="360" w:lineRule="auto"/>
              <w:ind w:firstLine="210" w:firstLineChars="100"/>
              <w:jc w:val="both"/>
              <w:rPr>
                <w:rFonts w:ascii="楷体" w:hAnsi="楷体" w:eastAsia="楷体" w:cs="楷体"/>
              </w:rPr>
            </w:pPr>
            <w:r>
              <w:rPr>
                <w:rFonts w:hint="eastAsia" w:ascii="宋体" w:hAnsi="宋体" w:cs="宋体"/>
                <w:sz w:val="21"/>
                <w:szCs w:val="21"/>
              </w:rPr>
              <w:t>20</w:t>
            </w:r>
            <w:r>
              <w:rPr>
                <w:rFonts w:hint="eastAsia" w:ascii="宋体" w:hAnsi="宋体" w:cs="宋体"/>
                <w:sz w:val="21"/>
                <w:szCs w:val="21"/>
                <w:lang w:val="en-US" w:eastAsia="zh-CN"/>
              </w:rPr>
              <w:t>20</w:t>
            </w:r>
            <w:r>
              <w:rPr>
                <w:rFonts w:hint="eastAsia" w:ascii="宋体" w:hAnsi="宋体" w:cs="宋体"/>
                <w:sz w:val="21"/>
                <w:szCs w:val="21"/>
              </w:rPr>
              <w:t>.</w:t>
            </w:r>
            <w:r>
              <w:rPr>
                <w:rFonts w:hint="eastAsia" w:ascii="宋体" w:hAnsi="宋体" w:cs="宋体"/>
                <w:sz w:val="21"/>
                <w:szCs w:val="21"/>
                <w:lang w:val="en-US" w:eastAsia="zh-CN"/>
              </w:rPr>
              <w:t>7</w:t>
            </w:r>
            <w:r>
              <w:rPr>
                <w:rFonts w:hint="eastAsia" w:ascii="宋体" w:hAnsi="宋体" w:cs="宋体"/>
                <w:sz w:val="21"/>
                <w:szCs w:val="21"/>
              </w:rPr>
              <w:t>.</w:t>
            </w:r>
            <w:r>
              <w:rPr>
                <w:rFonts w:hint="eastAsia" w:ascii="宋体" w:hAnsi="宋体" w:cs="宋体"/>
                <w:sz w:val="21"/>
                <w:szCs w:val="21"/>
                <w:lang w:val="en-US" w:eastAsia="zh-CN"/>
              </w:rPr>
              <w:t xml:space="preserve">5 </w:t>
            </w:r>
            <w:r>
              <w:rPr>
                <w:rFonts w:hint="eastAsia" w:ascii="宋体" w:hAnsi="宋体" w:cs="宋体"/>
                <w:sz w:val="21"/>
                <w:szCs w:val="21"/>
              </w:rPr>
              <w:t>考核情况：经查已完成。</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19" w:hRule="atLeast"/>
        </w:trPr>
        <w:tc>
          <w:tcPr>
            <w:tcW w:w="1809" w:type="dxa"/>
            <w:vAlign w:val="center"/>
          </w:tcPr>
          <w:p>
            <w:pPr>
              <w:rPr>
                <w:rFonts w:ascii="楷体" w:hAnsi="楷体" w:eastAsia="楷体"/>
                <w:sz w:val="24"/>
                <w:szCs w:val="24"/>
              </w:rPr>
            </w:pPr>
            <w:r>
              <w:rPr>
                <w:rFonts w:hint="eastAsia" w:ascii="楷体" w:hAnsi="楷体" w:eastAsia="楷体"/>
                <w:sz w:val="24"/>
                <w:szCs w:val="24"/>
              </w:rPr>
              <w:t>基础设施、监视和测量资源</w:t>
            </w:r>
          </w:p>
        </w:tc>
        <w:tc>
          <w:tcPr>
            <w:tcW w:w="1311" w:type="dxa"/>
          </w:tcPr>
          <w:p>
            <w:pPr>
              <w:spacing w:line="360" w:lineRule="auto"/>
            </w:pPr>
          </w:p>
          <w:p>
            <w:pPr>
              <w:spacing w:line="360" w:lineRule="auto"/>
            </w:pPr>
          </w:p>
          <w:p>
            <w:pPr>
              <w:pStyle w:val="2"/>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rPr>
                <w:rFonts w:ascii="楷体" w:hAnsi="楷体" w:eastAsia="楷体" w:cs="宋体"/>
                <w:color w:val="000000"/>
                <w:kern w:val="0"/>
                <w:sz w:val="24"/>
                <w:szCs w:val="24"/>
              </w:rPr>
            </w:pPr>
            <w:r>
              <w:rPr>
                <w:rFonts w:hint="eastAsia" w:ascii="楷体" w:hAnsi="楷体" w:eastAsia="楷体" w:cs="宋体"/>
                <w:color w:val="000000"/>
                <w:kern w:val="0"/>
                <w:sz w:val="24"/>
                <w:szCs w:val="24"/>
              </w:rPr>
              <w:t xml:space="preserve">Q7.1.3 </w:t>
            </w:r>
          </w:p>
          <w:p>
            <w:pPr>
              <w:rPr>
                <w:rFonts w:ascii="楷体" w:hAnsi="楷体" w:eastAsia="楷体" w:cs="宋体"/>
                <w:color w:val="000000"/>
                <w:kern w:val="0"/>
                <w:sz w:val="24"/>
                <w:szCs w:val="24"/>
              </w:rPr>
            </w:pPr>
            <w:r>
              <w:rPr>
                <w:rFonts w:hint="eastAsia" w:ascii="楷体" w:hAnsi="楷体" w:eastAsia="楷体" w:cs="宋体"/>
                <w:color w:val="000000"/>
                <w:kern w:val="0"/>
                <w:sz w:val="24"/>
                <w:szCs w:val="24"/>
              </w:rPr>
              <w:t>7.1.5</w:t>
            </w:r>
          </w:p>
          <w:p>
            <w:pPr>
              <w:pStyle w:val="2"/>
            </w:pPr>
          </w:p>
        </w:tc>
        <w:tc>
          <w:tcPr>
            <w:tcW w:w="10237" w:type="dxa"/>
          </w:tcPr>
          <w:p>
            <w:pPr>
              <w:spacing w:line="360" w:lineRule="auto"/>
              <w:rPr>
                <w:rFonts w:ascii="宋体" w:hAnsi="宋体" w:cs="宋体"/>
                <w:szCs w:val="21"/>
              </w:rPr>
            </w:pPr>
            <w:r>
              <w:rPr>
                <w:rFonts w:hint="eastAsia" w:ascii="宋体" w:hAnsi="宋体" w:cs="宋体"/>
                <w:szCs w:val="21"/>
              </w:rPr>
              <w:t>在质量手册中对基础设施的维护进行了规定，查见了《电脑管理制度》、《理化实验室仪器设备管理制度》等</w:t>
            </w:r>
          </w:p>
          <w:p>
            <w:pPr>
              <w:spacing w:line="360" w:lineRule="auto"/>
              <w:rPr>
                <w:rFonts w:ascii="宋体" w:hAnsi="宋体" w:cs="宋体"/>
                <w:szCs w:val="21"/>
              </w:rPr>
            </w:pPr>
            <w:r>
              <w:rPr>
                <w:rFonts w:hint="eastAsia" w:ascii="宋体" w:hAnsi="宋体" w:cs="宋体"/>
                <w:szCs w:val="21"/>
              </w:rPr>
              <w:t>现场审核基础设施主要包括：</w:t>
            </w:r>
          </w:p>
          <w:p>
            <w:pPr>
              <w:numPr>
                <w:ilvl w:val="0"/>
                <w:numId w:val="3"/>
              </w:numPr>
              <w:spacing w:line="360" w:lineRule="auto"/>
              <w:rPr>
                <w:rFonts w:ascii="宋体" w:hAnsi="宋体" w:cs="宋体"/>
                <w:szCs w:val="21"/>
              </w:rPr>
            </w:pPr>
            <w:r>
              <w:rPr>
                <w:rFonts w:hint="eastAsia" w:ascii="宋体" w:hAnsi="宋体" w:cs="宋体"/>
                <w:szCs w:val="21"/>
              </w:rPr>
              <w:t>建筑物、工作场所：西安经济技术开发区草滩六路268号，是租赁西安中油石化设备厂内办公室，面积510平方米，3楼整层，1楼4间办公室，用于办公和检测用。</w:t>
            </w:r>
          </w:p>
          <w:p>
            <w:pPr>
              <w:pStyle w:val="2"/>
            </w:pPr>
            <w:r>
              <w:rPr>
                <w:rFonts w:hint="eastAsia"/>
              </w:rPr>
              <w:drawing>
                <wp:anchor distT="0" distB="0" distL="114300" distR="114300" simplePos="0" relativeHeight="251786240" behindDoc="0" locked="0" layoutInCell="1" allowOverlap="1">
                  <wp:simplePos x="0" y="0"/>
                  <wp:positionH relativeFrom="column">
                    <wp:posOffset>2834005</wp:posOffset>
                  </wp:positionH>
                  <wp:positionV relativeFrom="paragraph">
                    <wp:posOffset>336550</wp:posOffset>
                  </wp:positionV>
                  <wp:extent cx="2332355" cy="3318510"/>
                  <wp:effectExtent l="0" t="0" r="4445" b="8890"/>
                  <wp:wrapNone/>
                  <wp:docPr id="18" name="图片 18" descr="ae1d063e5ce3cbe351c0e608ac595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ae1d063e5ce3cbe351c0e608ac595de"/>
                          <pic:cNvPicPr>
                            <a:picLocks noChangeAspect="1"/>
                          </pic:cNvPicPr>
                        </pic:nvPicPr>
                        <pic:blipFill>
                          <a:blip r:embed="rId6"/>
                          <a:stretch>
                            <a:fillRect/>
                          </a:stretch>
                        </pic:blipFill>
                        <pic:spPr>
                          <a:xfrm>
                            <a:off x="0" y="0"/>
                            <a:ext cx="2332355" cy="3318510"/>
                          </a:xfrm>
                          <a:prstGeom prst="rect">
                            <a:avLst/>
                          </a:prstGeom>
                        </pic:spPr>
                      </pic:pic>
                    </a:graphicData>
                  </a:graphic>
                </wp:anchor>
              </w:drawing>
            </w:r>
          </w:p>
          <w:p>
            <w:pPr>
              <w:pStyle w:val="3"/>
            </w:pPr>
            <w:r>
              <w:rPr>
                <w:rFonts w:hint="eastAsia"/>
              </w:rPr>
              <w:drawing>
                <wp:inline distT="0" distB="0" distL="114300" distR="114300">
                  <wp:extent cx="2366645" cy="3328035"/>
                  <wp:effectExtent l="0" t="0" r="8255" b="12065"/>
                  <wp:docPr id="17" name="图片 17" descr="8994fb00d01c930e00b063ed38c5f4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8994fb00d01c930e00b063ed38c5f4a"/>
                          <pic:cNvPicPr>
                            <a:picLocks noChangeAspect="1"/>
                          </pic:cNvPicPr>
                        </pic:nvPicPr>
                        <pic:blipFill>
                          <a:blip r:embed="rId7"/>
                          <a:stretch>
                            <a:fillRect/>
                          </a:stretch>
                        </pic:blipFill>
                        <pic:spPr>
                          <a:xfrm>
                            <a:off x="0" y="0"/>
                            <a:ext cx="2366645" cy="3328035"/>
                          </a:xfrm>
                          <a:prstGeom prst="rect">
                            <a:avLst/>
                          </a:prstGeom>
                        </pic:spPr>
                      </pic:pic>
                    </a:graphicData>
                  </a:graphic>
                </wp:inline>
              </w:drawing>
            </w:r>
          </w:p>
          <w:p>
            <w:pPr>
              <w:pStyle w:val="3"/>
            </w:pPr>
          </w:p>
          <w:p>
            <w:pPr>
              <w:pStyle w:val="3"/>
            </w:pPr>
          </w:p>
          <w:p>
            <w:pPr>
              <w:pStyle w:val="3"/>
            </w:pPr>
          </w:p>
          <w:p>
            <w:pPr>
              <w:pStyle w:val="3"/>
            </w:pPr>
          </w:p>
          <w:p>
            <w:pPr>
              <w:pStyle w:val="3"/>
            </w:pPr>
            <w:r>
              <w:rPr>
                <w:rFonts w:hint="eastAsia" w:ascii="宋体" w:hAnsi="宋体" w:cs="宋体"/>
                <w:szCs w:val="21"/>
              </w:rPr>
              <w:t>1楼场办公区地布置图          3楼场检测试验区地布置图</w:t>
            </w:r>
          </w:p>
          <w:p>
            <w:pPr>
              <w:pStyle w:val="3"/>
            </w:pPr>
            <w:r>
              <w:rPr>
                <w:rFonts w:hint="eastAsia"/>
                <w:sz w:val="32"/>
                <w:szCs w:val="32"/>
              </w:rPr>
              <w:drawing>
                <wp:anchor distT="0" distB="0" distL="0" distR="0" simplePos="0" relativeHeight="251787264" behindDoc="0" locked="0" layoutInCell="1" allowOverlap="1">
                  <wp:simplePos x="0" y="0"/>
                  <wp:positionH relativeFrom="column">
                    <wp:posOffset>2282825</wp:posOffset>
                  </wp:positionH>
                  <wp:positionV relativeFrom="paragraph">
                    <wp:posOffset>64770</wp:posOffset>
                  </wp:positionV>
                  <wp:extent cx="3109595" cy="2411730"/>
                  <wp:effectExtent l="0" t="0" r="1905" b="1270"/>
                  <wp:wrapNone/>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pic:cNvPicPr>
                            <a:picLocks noChangeAspect="1" noChangeArrowheads="1"/>
                          </pic:cNvPicPr>
                        </pic:nvPicPr>
                        <pic:blipFill>
                          <a:blip r:embed="rId8" cstate="print"/>
                          <a:srcRect/>
                          <a:stretch>
                            <a:fillRect/>
                          </a:stretch>
                        </pic:blipFill>
                        <pic:spPr>
                          <a:xfrm>
                            <a:off x="0" y="0"/>
                            <a:ext cx="3109595" cy="2411730"/>
                          </a:xfrm>
                          <a:prstGeom prst="rect">
                            <a:avLst/>
                          </a:prstGeom>
                          <a:noFill/>
                          <a:ln w="9525">
                            <a:noFill/>
                            <a:miter lim="800000"/>
                            <a:headEnd/>
                            <a:tailEnd/>
                          </a:ln>
                        </pic:spPr>
                      </pic:pic>
                    </a:graphicData>
                  </a:graphic>
                </wp:anchor>
              </w:drawing>
            </w:r>
            <w:r>
              <w:rPr>
                <w:rFonts w:hint="eastAsia"/>
                <w:sz w:val="32"/>
                <w:szCs w:val="32"/>
              </w:rPr>
              <w:drawing>
                <wp:inline distT="0" distB="0" distL="0" distR="0">
                  <wp:extent cx="1546225" cy="2458085"/>
                  <wp:effectExtent l="0" t="0" r="3175" b="5715"/>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noChangeArrowheads="1"/>
                          </pic:cNvPicPr>
                        </pic:nvPicPr>
                        <pic:blipFill>
                          <a:blip r:embed="rId9" cstate="print"/>
                          <a:srcRect r="54263"/>
                          <a:stretch>
                            <a:fillRect/>
                          </a:stretch>
                        </pic:blipFill>
                        <pic:spPr>
                          <a:xfrm>
                            <a:off x="0" y="0"/>
                            <a:ext cx="1546225" cy="2458085"/>
                          </a:xfrm>
                          <a:prstGeom prst="rect">
                            <a:avLst/>
                          </a:prstGeom>
                          <a:noFill/>
                          <a:ln w="9525">
                            <a:noFill/>
                            <a:miter lim="800000"/>
                            <a:headEnd/>
                            <a:tailEnd/>
                          </a:ln>
                        </pic:spPr>
                      </pic:pic>
                    </a:graphicData>
                  </a:graphic>
                </wp:inline>
              </w:drawing>
            </w:r>
          </w:p>
          <w:p>
            <w:pPr>
              <w:pStyle w:val="3"/>
              <w:ind w:firstLine="0"/>
            </w:pPr>
          </w:p>
          <w:p>
            <w:pPr>
              <w:spacing w:line="360" w:lineRule="auto"/>
              <w:rPr>
                <w:rFonts w:ascii="楷体" w:hAnsi="楷体" w:eastAsia="楷体" w:cs="宋体"/>
                <w:bCs/>
                <w:sz w:val="24"/>
                <w:szCs w:val="24"/>
              </w:rPr>
            </w:pPr>
            <w:r>
              <w:rPr>
                <w:rFonts w:hint="eastAsia" w:ascii="宋体" w:hAnsi="宋体" w:cs="宋体"/>
                <w:szCs w:val="21"/>
              </w:rPr>
              <w:t>2)办公设备：公司根据的需要，配备了行政办公用房及通讯、信息系统等基础设施， 并配备有办公桌椅，水电、空调、会议室、消防设施设备，并有电脑、打印机、电话、传真机、复印机等办公设备；满足办公需要。</w:t>
            </w: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供《办公设备明细台账》：</w:t>
            </w: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pStyle w:val="3"/>
              <w:ind w:firstLine="0"/>
              <w:rPr>
                <w:rFonts w:ascii="宋体" w:hAnsi="宋体" w:cs="宋体"/>
                <w:szCs w:val="21"/>
              </w:rPr>
            </w:pPr>
          </w:p>
          <w:p>
            <w:pPr>
              <w:pStyle w:val="3"/>
              <w:rPr>
                <w:rFonts w:ascii="宋体" w:hAnsi="宋体" w:cs="宋体"/>
                <w:szCs w:val="21"/>
              </w:rPr>
            </w:pPr>
            <w:r>
              <w:rPr>
                <w:rFonts w:hint="eastAsia" w:ascii="宋体" w:hAnsi="宋体" w:cs="宋体"/>
                <w:szCs w:val="21"/>
              </w:rPr>
              <w:drawing>
                <wp:anchor distT="0" distB="0" distL="114300" distR="114300" simplePos="0" relativeHeight="251784192" behindDoc="0" locked="0" layoutInCell="1" allowOverlap="1">
                  <wp:simplePos x="0" y="0"/>
                  <wp:positionH relativeFrom="column">
                    <wp:posOffset>4321810</wp:posOffset>
                  </wp:positionH>
                  <wp:positionV relativeFrom="paragraph">
                    <wp:posOffset>31115</wp:posOffset>
                  </wp:positionV>
                  <wp:extent cx="1887855" cy="2706370"/>
                  <wp:effectExtent l="0" t="0" r="4445" b="11430"/>
                  <wp:wrapNone/>
                  <wp:docPr id="15" name="图片 15" descr="21d21444073357b1be8e6fbdb7c34b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21d21444073357b1be8e6fbdb7c34ba"/>
                          <pic:cNvPicPr>
                            <a:picLocks noChangeAspect="1"/>
                          </pic:cNvPicPr>
                        </pic:nvPicPr>
                        <pic:blipFill>
                          <a:blip r:embed="rId10"/>
                          <a:stretch>
                            <a:fillRect/>
                          </a:stretch>
                        </pic:blipFill>
                        <pic:spPr>
                          <a:xfrm flipH="1">
                            <a:off x="0" y="0"/>
                            <a:ext cx="1887855" cy="2706370"/>
                          </a:xfrm>
                          <a:prstGeom prst="rect">
                            <a:avLst/>
                          </a:prstGeom>
                        </pic:spPr>
                      </pic:pic>
                    </a:graphicData>
                  </a:graphic>
                </wp:anchor>
              </w:drawing>
            </w:r>
            <w:r>
              <w:rPr>
                <w:rFonts w:hint="eastAsia" w:ascii="宋体" w:hAnsi="宋体" w:cs="宋体"/>
                <w:szCs w:val="21"/>
              </w:rPr>
              <w:drawing>
                <wp:anchor distT="0" distB="0" distL="114300" distR="114300" simplePos="0" relativeHeight="251785216" behindDoc="0" locked="0" layoutInCell="1" allowOverlap="1">
                  <wp:simplePos x="0" y="0"/>
                  <wp:positionH relativeFrom="column">
                    <wp:posOffset>2307590</wp:posOffset>
                  </wp:positionH>
                  <wp:positionV relativeFrom="paragraph">
                    <wp:posOffset>76835</wp:posOffset>
                  </wp:positionV>
                  <wp:extent cx="1932305" cy="2693670"/>
                  <wp:effectExtent l="0" t="0" r="10795" b="11430"/>
                  <wp:wrapNone/>
                  <wp:docPr id="16" name="图片 16" descr="963adab94b3a083390939d1be1546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963adab94b3a083390939d1be15465a"/>
                          <pic:cNvPicPr>
                            <a:picLocks noChangeAspect="1"/>
                          </pic:cNvPicPr>
                        </pic:nvPicPr>
                        <pic:blipFill>
                          <a:blip r:embed="rId11"/>
                          <a:stretch>
                            <a:fillRect/>
                          </a:stretch>
                        </pic:blipFill>
                        <pic:spPr>
                          <a:xfrm>
                            <a:off x="0" y="0"/>
                            <a:ext cx="1932305" cy="2693670"/>
                          </a:xfrm>
                          <a:prstGeom prst="rect">
                            <a:avLst/>
                          </a:prstGeom>
                        </pic:spPr>
                      </pic:pic>
                    </a:graphicData>
                  </a:graphic>
                </wp:anchor>
              </w:drawing>
            </w:r>
            <w:r>
              <w:rPr>
                <w:rFonts w:hint="eastAsia" w:ascii="宋体" w:hAnsi="宋体" w:cs="宋体"/>
                <w:szCs w:val="21"/>
              </w:rPr>
              <w:drawing>
                <wp:anchor distT="0" distB="0" distL="114300" distR="114300" simplePos="0" relativeHeight="251783168" behindDoc="0" locked="0" layoutInCell="1" allowOverlap="1">
                  <wp:simplePos x="0" y="0"/>
                  <wp:positionH relativeFrom="column">
                    <wp:posOffset>201930</wp:posOffset>
                  </wp:positionH>
                  <wp:positionV relativeFrom="paragraph">
                    <wp:posOffset>62230</wp:posOffset>
                  </wp:positionV>
                  <wp:extent cx="1878965" cy="2707005"/>
                  <wp:effectExtent l="0" t="0" r="635" b="10795"/>
                  <wp:wrapNone/>
                  <wp:docPr id="14" name="图片 14" descr="be55f77144c76ec882065dc9684e7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be55f77144c76ec882065dc9684e70f"/>
                          <pic:cNvPicPr>
                            <a:picLocks noChangeAspect="1"/>
                          </pic:cNvPicPr>
                        </pic:nvPicPr>
                        <pic:blipFill>
                          <a:blip r:embed="rId12"/>
                          <a:stretch>
                            <a:fillRect/>
                          </a:stretch>
                        </pic:blipFill>
                        <pic:spPr>
                          <a:xfrm>
                            <a:off x="0" y="0"/>
                            <a:ext cx="1878965" cy="2707005"/>
                          </a:xfrm>
                          <a:prstGeom prst="rect">
                            <a:avLst/>
                          </a:prstGeom>
                        </pic:spPr>
                      </pic:pic>
                    </a:graphicData>
                  </a:graphic>
                </wp:anchor>
              </w:drawing>
            </w: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pStyle w:val="3"/>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pStyle w:val="2"/>
              <w:rPr>
                <w:rFonts w:ascii="宋体" w:hAnsi="宋体" w:cs="宋体"/>
                <w:sz w:val="21"/>
                <w:szCs w:val="21"/>
              </w:rPr>
            </w:pPr>
          </w:p>
          <w:p>
            <w:pPr>
              <w:pStyle w:val="3"/>
            </w:pPr>
          </w:p>
          <w:p>
            <w:pPr>
              <w:widowControl/>
              <w:spacing w:line="360" w:lineRule="auto"/>
              <w:ind w:firstLine="420" w:firstLineChars="200"/>
              <w:jc w:val="left"/>
              <w:rPr>
                <w:rFonts w:ascii="宋体" w:hAnsi="宋体" w:cs="宋体"/>
                <w:bCs/>
                <w:szCs w:val="21"/>
              </w:rPr>
            </w:pPr>
            <w:r>
              <w:rPr>
                <w:rFonts w:hint="eastAsia" w:ascii="宋体" w:hAnsi="宋体" w:cs="宋体"/>
                <w:szCs w:val="21"/>
              </w:rPr>
              <w:t>公司2019.1.21获注册号：CNAS L9481 ，中国合格评定国家认可委员会颁发的《实验室认可证书》，</w:t>
            </w:r>
            <w:r>
              <w:rPr>
                <w:rFonts w:hint="eastAsia" w:ascii="宋体" w:hAnsi="宋体" w:cs="宋体"/>
                <w:b/>
                <w:bCs/>
                <w:color w:val="000000"/>
                <w:kern w:val="0"/>
                <w:szCs w:val="21"/>
                <w:lang w:bidi="ar"/>
              </w:rPr>
              <w:t>认可的检测能力范围 ：热学</w:t>
            </w:r>
            <w:r>
              <w:rPr>
                <w:rFonts w:hint="eastAsia" w:ascii="宋体" w:hAnsi="宋体" w:cs="宋体"/>
                <w:color w:val="000000"/>
                <w:kern w:val="0"/>
                <w:szCs w:val="21"/>
                <w:lang w:bidi="ar"/>
              </w:rPr>
              <w:t>：热处理炉 、离心机、V 型架 、机床、</w:t>
            </w:r>
            <w:r>
              <w:rPr>
                <w:rFonts w:hint="eastAsia" w:ascii="宋体" w:hAnsi="宋体" w:cs="宋体"/>
                <w:b/>
                <w:bCs/>
                <w:color w:val="000000"/>
                <w:kern w:val="0"/>
                <w:szCs w:val="21"/>
                <w:lang w:bidi="ar"/>
              </w:rPr>
              <w:t>认可的校准和测量能力范围</w:t>
            </w:r>
            <w:r>
              <w:rPr>
                <w:rFonts w:hint="eastAsia" w:ascii="宋体" w:hAnsi="宋体" w:cs="宋体"/>
                <w:color w:val="000000"/>
                <w:kern w:val="0"/>
                <w:szCs w:val="21"/>
                <w:lang w:bidi="ar"/>
              </w:rPr>
              <w:t>：</w:t>
            </w:r>
            <w:r>
              <w:rPr>
                <w:rFonts w:hint="eastAsia" w:ascii="宋体" w:hAnsi="宋体" w:cs="宋体"/>
                <w:b/>
                <w:bCs/>
                <w:color w:val="000000"/>
                <w:kern w:val="0"/>
                <w:szCs w:val="21"/>
                <w:lang w:bidi="ar"/>
              </w:rPr>
              <w:t>热学:</w:t>
            </w:r>
            <w:r>
              <w:rPr>
                <w:rFonts w:hint="eastAsia" w:ascii="宋体" w:hAnsi="宋体" w:cs="宋体"/>
                <w:color w:val="000000"/>
                <w:kern w:val="0"/>
                <w:szCs w:val="21"/>
                <w:lang w:bidi="ar"/>
              </w:rPr>
              <w:t>机械式温湿度计、数字式温湿度表、灭菌锅、工作用玻璃液体温度计、双金属温度计、温度变送器、数字温度指示调节仪、廉金属热电偶</w:t>
            </w:r>
            <w:r>
              <w:rPr>
                <w:rFonts w:hint="eastAsia" w:ascii="宋体" w:hAnsi="宋体" w:cs="宋体"/>
                <w:szCs w:val="21"/>
              </w:rPr>
              <w:t>、</w:t>
            </w:r>
            <w:r>
              <w:rPr>
                <w:rFonts w:hint="eastAsia" w:ascii="宋体" w:hAnsi="宋体" w:cs="宋体"/>
                <w:color w:val="000000"/>
                <w:kern w:val="0"/>
                <w:szCs w:val="21"/>
                <w:lang w:bidi="ar"/>
              </w:rPr>
              <w:t>工作用铜-铜镍热电偶、铠装热电偶、工业铂、铜热电阻 、压力式温度计 、环境试验设备等21项；</w:t>
            </w:r>
            <w:r>
              <w:rPr>
                <w:rFonts w:hint="eastAsia" w:ascii="宋体" w:hAnsi="宋体" w:cs="宋体"/>
                <w:b/>
                <w:bCs/>
                <w:color w:val="000000"/>
                <w:kern w:val="0"/>
                <w:szCs w:val="21"/>
                <w:lang w:bidi="ar"/>
              </w:rPr>
              <w:t>电磁学</w:t>
            </w:r>
            <w:r>
              <w:rPr>
                <w:rFonts w:hint="eastAsia" w:ascii="宋体" w:hAnsi="宋体" w:cs="宋体"/>
                <w:color w:val="000000"/>
                <w:kern w:val="0"/>
                <w:szCs w:val="21"/>
                <w:lang w:bidi="ar"/>
              </w:rPr>
              <w:t>：电压表、电流表、电阻表、电子式绝缘电阻表 、数字多用表、绝缘电阻表 、耐电压测试仪 、安规综合测试仪、钳形电流表 、数据采集器等13项；</w:t>
            </w:r>
            <w:r>
              <w:rPr>
                <w:rFonts w:hint="eastAsia" w:ascii="宋体" w:hAnsi="宋体" w:cs="宋体"/>
                <w:b/>
                <w:bCs/>
                <w:color w:val="000000"/>
                <w:kern w:val="0"/>
                <w:szCs w:val="21"/>
                <w:lang w:bidi="ar"/>
              </w:rPr>
              <w:t>力学</w:t>
            </w:r>
            <w:r>
              <w:rPr>
                <w:rFonts w:hint="eastAsia" w:ascii="宋体" w:hAnsi="宋体" w:cs="宋体"/>
                <w:color w:val="000000"/>
                <w:kern w:val="0"/>
                <w:szCs w:val="21"/>
                <w:lang w:bidi="ar"/>
              </w:rPr>
              <w:t>：电子天平、机械天平、数字指示秤 、精密杯形和 U 形液体压力计、压力工业过程测量记录仪、电子式万能试验机 、弹性元件式一般压力表、压力真空表和真空表等25项 ；</w:t>
            </w:r>
            <w:r>
              <w:rPr>
                <w:rFonts w:hint="eastAsia" w:ascii="宋体" w:hAnsi="宋体" w:cs="宋体"/>
                <w:b/>
                <w:bCs/>
                <w:color w:val="000000"/>
                <w:kern w:val="0"/>
                <w:szCs w:val="21"/>
                <w:lang w:bidi="ar"/>
              </w:rPr>
              <w:t>几何量</w:t>
            </w:r>
            <w:r>
              <w:rPr>
                <w:rFonts w:hint="eastAsia" w:ascii="宋体" w:hAnsi="宋体" w:cs="宋体"/>
                <w:color w:val="000000"/>
                <w:kern w:val="0"/>
                <w:szCs w:val="21"/>
                <w:lang w:bidi="ar"/>
              </w:rPr>
              <w:t>：杠杆千分尺、杠杆卡规、千分尺、万能角度尺、 坐标测量机等20项；</w:t>
            </w:r>
            <w:r>
              <w:rPr>
                <w:rFonts w:hint="eastAsia" w:ascii="宋体" w:hAnsi="宋体" w:cs="宋体"/>
                <w:b/>
                <w:bCs/>
                <w:color w:val="000000"/>
                <w:kern w:val="0"/>
                <w:szCs w:val="21"/>
                <w:lang w:bidi="ar"/>
              </w:rPr>
              <w:t>化学</w:t>
            </w:r>
            <w:r>
              <w:rPr>
                <w:rFonts w:hint="eastAsia" w:ascii="宋体" w:hAnsi="宋体" w:cs="宋体"/>
                <w:color w:val="000000"/>
                <w:kern w:val="0"/>
                <w:szCs w:val="21"/>
                <w:lang w:bidi="ar"/>
              </w:rPr>
              <w:t>:实验室 pH（酸度）计、紫外可见分光光度计、气相色谱仪等22项；专用设备：水泥安定性试验用沸煮箱、沥青延度仪、水泥净浆标准稠度与凝结时间测定仪 、胶砂试体成型振实台、水泥胶砂流动度测定仪 、静力触探仪等44项。</w:t>
            </w:r>
            <w:r>
              <w:rPr>
                <w:rFonts w:hint="eastAsia" w:ascii="宋体" w:hAnsi="宋体" w:cs="宋体"/>
                <w:szCs w:val="21"/>
              </w:rPr>
              <w:t>公司可面对社会开展几何量、热工、力学、电磁、化学等五大专业计量领域的校准/检测/检定工作。</w:t>
            </w:r>
          </w:p>
          <w:p>
            <w:pPr>
              <w:spacing w:line="360" w:lineRule="auto"/>
              <w:rPr>
                <w:rFonts w:ascii="宋体" w:hAnsi="宋体" w:cs="宋体"/>
                <w:szCs w:val="21"/>
              </w:rPr>
            </w:pPr>
            <w:r>
              <w:rPr>
                <w:rFonts w:hint="eastAsia" w:ascii="宋体" w:hAnsi="宋体" w:cs="宋体"/>
                <w:szCs w:val="21"/>
              </w:rPr>
              <w:t>3）</w:t>
            </w:r>
            <w:r>
              <w:rPr>
                <w:rFonts w:hint="eastAsia" w:ascii="宋体" w:hAnsi="宋体" w:cs="宋体"/>
                <w:bCs/>
                <w:szCs w:val="21"/>
              </w:rPr>
              <w:t>查看《设备一览表》用于计量检测设备及监测资源有：</w:t>
            </w:r>
            <w:r>
              <w:rPr>
                <w:rFonts w:hint="eastAsia" w:ascii="宋体" w:hAnsi="宋体" w:cs="宋体"/>
                <w:szCs w:val="21"/>
              </w:rPr>
              <w:t>测长仪、万能工具显微镜、二等标准量块、0级平板、智能化热工仪表检定系统、恒温油槽、制冷恒温槽、温湿度检定箱、标准铂电阻温度计、标准热电偶、多功能校验仪、兆欧表检定装置、多功能试验箱、耐电压测试仪、活塞压力计、精密数字压力计、扭矩扳子检定仪、标准测力仪、水泥软炼设备、温度压力验证系统、pH计检定仪、色谱检定仪、</w:t>
            </w:r>
            <w:r>
              <w:rPr>
                <w:rFonts w:hint="eastAsia" w:ascii="宋体" w:hAnsi="宋体" w:cs="宋体"/>
                <w:bCs/>
                <w:szCs w:val="21"/>
              </w:rPr>
              <w:t>ZRJ智能化热工仪表检定系统、数字多用表、湿度传感器、数据采集器、铂电阻、万能转换开关、精密露点仪、多功能校准仪、程控高精度耐压测试仪校验仪、高精度全自动交流稳压器、水泥软练设备测量仪等274台套计量设备</w:t>
            </w:r>
            <w:r>
              <w:rPr>
                <w:rFonts w:hint="eastAsia" w:ascii="宋体" w:hAnsi="宋体" w:cs="宋体"/>
                <w:szCs w:val="21"/>
              </w:rPr>
              <w:t>等设备。</w:t>
            </w:r>
          </w:p>
          <w:p>
            <w:pPr>
              <w:pStyle w:val="2"/>
            </w:pPr>
            <w:r>
              <w:rPr>
                <w:rFonts w:hint="eastAsia" w:eastAsia="楷体"/>
              </w:rPr>
              <w:drawing>
                <wp:anchor distT="0" distB="0" distL="114300" distR="114300" simplePos="0" relativeHeight="251792384" behindDoc="0" locked="0" layoutInCell="1" allowOverlap="1">
                  <wp:simplePos x="0" y="0"/>
                  <wp:positionH relativeFrom="column">
                    <wp:posOffset>3813810</wp:posOffset>
                  </wp:positionH>
                  <wp:positionV relativeFrom="paragraph">
                    <wp:posOffset>-400685</wp:posOffset>
                  </wp:positionV>
                  <wp:extent cx="2320290" cy="3333750"/>
                  <wp:effectExtent l="0" t="0" r="6350" b="3810"/>
                  <wp:wrapNone/>
                  <wp:docPr id="21" name="图片 3" descr="1acb9b77305fb96983e5264b295e7a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3" descr="1acb9b77305fb96983e5264b295e7a7"/>
                          <pic:cNvPicPr>
                            <a:picLocks noChangeAspect="1"/>
                          </pic:cNvPicPr>
                        </pic:nvPicPr>
                        <pic:blipFill>
                          <a:blip r:embed="rId13"/>
                          <a:stretch>
                            <a:fillRect/>
                          </a:stretch>
                        </pic:blipFill>
                        <pic:spPr>
                          <a:xfrm rot="-5400000">
                            <a:off x="0" y="0"/>
                            <a:ext cx="2320290" cy="3333750"/>
                          </a:xfrm>
                          <a:prstGeom prst="rect">
                            <a:avLst/>
                          </a:prstGeom>
                          <a:noFill/>
                          <a:ln>
                            <a:noFill/>
                          </a:ln>
                        </pic:spPr>
                      </pic:pic>
                    </a:graphicData>
                  </a:graphic>
                </wp:anchor>
              </w:drawing>
            </w:r>
            <w:r>
              <w:rPr>
                <w:rFonts w:hint="eastAsia" w:eastAsia="楷体"/>
              </w:rPr>
              <w:drawing>
                <wp:anchor distT="0" distB="0" distL="114300" distR="114300" simplePos="0" relativeHeight="251790336" behindDoc="0" locked="0" layoutInCell="1" allowOverlap="1">
                  <wp:simplePos x="0" y="0"/>
                  <wp:positionH relativeFrom="column">
                    <wp:posOffset>-89535</wp:posOffset>
                  </wp:positionH>
                  <wp:positionV relativeFrom="paragraph">
                    <wp:posOffset>31115</wp:posOffset>
                  </wp:positionV>
                  <wp:extent cx="3294380" cy="2398395"/>
                  <wp:effectExtent l="0" t="0" r="7620" b="1905"/>
                  <wp:wrapNone/>
                  <wp:docPr id="20" name="图片 2" descr="bc4d5e9624e35dedda41f5ebe7d74e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 descr="bc4d5e9624e35dedda41f5ebe7d74eb"/>
                          <pic:cNvPicPr>
                            <a:picLocks noChangeAspect="1"/>
                          </pic:cNvPicPr>
                        </pic:nvPicPr>
                        <pic:blipFill>
                          <a:blip r:embed="rId14"/>
                          <a:stretch>
                            <a:fillRect/>
                          </a:stretch>
                        </pic:blipFill>
                        <pic:spPr>
                          <a:xfrm>
                            <a:off x="0" y="0"/>
                            <a:ext cx="3294380" cy="239839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r>
              <w:rPr>
                <w:rFonts w:hint="eastAsia" w:eastAsia="楷体"/>
              </w:rPr>
              <w:drawing>
                <wp:anchor distT="0" distB="0" distL="114300" distR="114300" simplePos="0" relativeHeight="251797504" behindDoc="0" locked="0" layoutInCell="1" allowOverlap="1">
                  <wp:simplePos x="0" y="0"/>
                  <wp:positionH relativeFrom="column">
                    <wp:posOffset>3637915</wp:posOffset>
                  </wp:positionH>
                  <wp:positionV relativeFrom="paragraph">
                    <wp:posOffset>-421640</wp:posOffset>
                  </wp:positionV>
                  <wp:extent cx="2139950" cy="3091180"/>
                  <wp:effectExtent l="0" t="0" r="7620" b="6350"/>
                  <wp:wrapNone/>
                  <wp:docPr id="23" name="图片 5" descr="3e48e9b7cd99577d07350972eca76c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3e48e9b7cd99577d07350972eca76cc"/>
                          <pic:cNvPicPr>
                            <a:picLocks noChangeAspect="1"/>
                          </pic:cNvPicPr>
                        </pic:nvPicPr>
                        <pic:blipFill>
                          <a:blip r:embed="rId15"/>
                          <a:stretch>
                            <a:fillRect/>
                          </a:stretch>
                        </pic:blipFill>
                        <pic:spPr>
                          <a:xfrm rot="-5400000">
                            <a:off x="0" y="0"/>
                            <a:ext cx="2139950" cy="3091180"/>
                          </a:xfrm>
                          <a:prstGeom prst="rect">
                            <a:avLst/>
                          </a:prstGeom>
                          <a:noFill/>
                          <a:ln>
                            <a:noFill/>
                          </a:ln>
                        </pic:spPr>
                      </pic:pic>
                    </a:graphicData>
                  </a:graphic>
                </wp:anchor>
              </w:drawing>
            </w:r>
            <w:r>
              <w:rPr>
                <w:rFonts w:hint="eastAsia" w:eastAsia="楷体"/>
              </w:rPr>
              <w:drawing>
                <wp:anchor distT="0" distB="0" distL="114300" distR="114300" simplePos="0" relativeHeight="251793408" behindDoc="0" locked="0" layoutInCell="1" allowOverlap="1">
                  <wp:simplePos x="0" y="0"/>
                  <wp:positionH relativeFrom="column">
                    <wp:posOffset>494665</wp:posOffset>
                  </wp:positionH>
                  <wp:positionV relativeFrom="paragraph">
                    <wp:posOffset>-433705</wp:posOffset>
                  </wp:positionV>
                  <wp:extent cx="2163445" cy="3104515"/>
                  <wp:effectExtent l="0" t="0" r="6985" b="8255"/>
                  <wp:wrapNone/>
                  <wp:docPr id="22" name="图片 4" descr="8e68e930ea053d575acb8c5d5d162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descr="8e68e930ea053d575acb8c5d5d1625b"/>
                          <pic:cNvPicPr>
                            <a:picLocks noChangeAspect="1"/>
                          </pic:cNvPicPr>
                        </pic:nvPicPr>
                        <pic:blipFill>
                          <a:blip r:embed="rId16"/>
                          <a:stretch>
                            <a:fillRect/>
                          </a:stretch>
                        </pic:blipFill>
                        <pic:spPr>
                          <a:xfrm rot="-5400000">
                            <a:off x="0" y="0"/>
                            <a:ext cx="2163445" cy="3104515"/>
                          </a:xfrm>
                          <a:prstGeom prst="rect">
                            <a:avLst/>
                          </a:prstGeom>
                          <a:noFill/>
                          <a:ln>
                            <a:noFill/>
                          </a:ln>
                        </pic:spPr>
                      </pic:pic>
                    </a:graphicData>
                  </a:graphic>
                </wp:anchor>
              </w:drawing>
            </w: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pStyle w:val="3"/>
            </w:pPr>
          </w:p>
          <w:p>
            <w:pPr>
              <w:spacing w:line="360" w:lineRule="auto"/>
              <w:rPr>
                <w:rFonts w:ascii="宋体" w:hAnsi="宋体" w:cs="宋体"/>
                <w:szCs w:val="21"/>
              </w:rPr>
            </w:pPr>
          </w:p>
          <w:p>
            <w:pPr>
              <w:spacing w:line="360" w:lineRule="auto"/>
              <w:rPr>
                <w:rFonts w:ascii="楷体" w:hAnsi="楷体" w:eastAsia="楷体" w:cs="宋体"/>
                <w:bCs/>
                <w:sz w:val="24"/>
                <w:szCs w:val="24"/>
              </w:rPr>
            </w:pPr>
            <w:r>
              <w:rPr>
                <w:rFonts w:hint="eastAsia" w:ascii="宋体" w:hAnsi="宋体" w:cs="宋体"/>
                <w:szCs w:val="21"/>
              </w:rPr>
              <w:t>仪器设备能够满足所从事的校准/检测/检定工作范围内对资源的要求。</w:t>
            </w:r>
          </w:p>
          <w:p>
            <w:pPr>
              <w:spacing w:line="360" w:lineRule="auto"/>
              <w:rPr>
                <w:rFonts w:ascii="宋体" w:hAnsi="宋体" w:cs="宋体"/>
                <w:szCs w:val="21"/>
              </w:rPr>
            </w:pPr>
            <w:r>
              <w:rPr>
                <w:rFonts w:hint="eastAsia" w:ascii="楷体" w:hAnsi="楷体" w:eastAsia="楷体" w:cs="宋体"/>
                <w:bCs/>
                <w:sz w:val="24"/>
                <w:szCs w:val="24"/>
              </w:rPr>
              <w:drawing>
                <wp:anchor distT="0" distB="0" distL="114300" distR="114300" simplePos="0" relativeHeight="251802624" behindDoc="0" locked="0" layoutInCell="1" allowOverlap="1">
                  <wp:simplePos x="0" y="0"/>
                  <wp:positionH relativeFrom="column">
                    <wp:posOffset>241300</wp:posOffset>
                  </wp:positionH>
                  <wp:positionV relativeFrom="paragraph">
                    <wp:posOffset>266700</wp:posOffset>
                  </wp:positionV>
                  <wp:extent cx="1624965" cy="2325370"/>
                  <wp:effectExtent l="0" t="0" r="635" b="11430"/>
                  <wp:wrapNone/>
                  <wp:docPr id="26" name="图片 9" descr="新文档 04-08-2020 22.29.22_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9" descr="新文档 04-08-2020 22.29.22_16"/>
                          <pic:cNvPicPr>
                            <a:picLocks noChangeAspect="1"/>
                          </pic:cNvPicPr>
                        </pic:nvPicPr>
                        <pic:blipFill>
                          <a:blip r:embed="rId17"/>
                          <a:stretch>
                            <a:fillRect/>
                          </a:stretch>
                        </pic:blipFill>
                        <pic:spPr>
                          <a:xfrm>
                            <a:off x="0" y="0"/>
                            <a:ext cx="1624965" cy="2325370"/>
                          </a:xfrm>
                          <a:prstGeom prst="rect">
                            <a:avLst/>
                          </a:prstGeom>
                          <a:noFill/>
                          <a:ln>
                            <a:noFill/>
                          </a:ln>
                        </pic:spPr>
                      </pic:pic>
                    </a:graphicData>
                  </a:graphic>
                </wp:anchor>
              </w:drawing>
            </w:r>
            <w:r>
              <w:rPr>
                <w:rFonts w:hint="eastAsia" w:ascii="宋体" w:hAnsi="宋体" w:cs="宋体"/>
                <w:szCs w:val="21"/>
              </w:rPr>
              <w:t>提供检定（校准）合格证书（见相关证据），均按规定和时间间隔要求溯源管理。</w:t>
            </w:r>
          </w:p>
          <w:p>
            <w:pPr>
              <w:spacing w:line="360" w:lineRule="auto"/>
              <w:ind w:firstLine="480" w:firstLineChars="200"/>
              <w:rPr>
                <w:rFonts w:ascii="楷体" w:hAnsi="楷体" w:eastAsia="楷体" w:cs="宋体"/>
                <w:bCs/>
                <w:sz w:val="24"/>
                <w:szCs w:val="24"/>
              </w:rPr>
            </w:pPr>
            <w:r>
              <w:rPr>
                <w:rFonts w:hint="eastAsia" w:ascii="楷体" w:hAnsi="楷体" w:eastAsia="楷体" w:cs="宋体"/>
                <w:bCs/>
                <w:sz w:val="24"/>
                <w:szCs w:val="24"/>
              </w:rPr>
              <w:drawing>
                <wp:anchor distT="0" distB="0" distL="114300" distR="114300" simplePos="0" relativeHeight="251804672" behindDoc="0" locked="0" layoutInCell="1" allowOverlap="1">
                  <wp:simplePos x="0" y="0"/>
                  <wp:positionH relativeFrom="column">
                    <wp:posOffset>3869055</wp:posOffset>
                  </wp:positionH>
                  <wp:positionV relativeFrom="paragraph">
                    <wp:posOffset>93980</wp:posOffset>
                  </wp:positionV>
                  <wp:extent cx="1544320" cy="2213610"/>
                  <wp:effectExtent l="0" t="0" r="5080" b="8890"/>
                  <wp:wrapNone/>
                  <wp:docPr id="25" name="图片 8" descr="新文档 04-08-2020 22.29.22_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8" descr="新文档 04-08-2020 22.29.22_20"/>
                          <pic:cNvPicPr>
                            <a:picLocks noChangeAspect="1"/>
                          </pic:cNvPicPr>
                        </pic:nvPicPr>
                        <pic:blipFill>
                          <a:blip r:embed="rId18"/>
                          <a:stretch>
                            <a:fillRect/>
                          </a:stretch>
                        </pic:blipFill>
                        <pic:spPr>
                          <a:xfrm>
                            <a:off x="0" y="0"/>
                            <a:ext cx="1544320" cy="2213610"/>
                          </a:xfrm>
                          <a:prstGeom prst="rect">
                            <a:avLst/>
                          </a:prstGeom>
                          <a:noFill/>
                          <a:ln>
                            <a:noFill/>
                          </a:ln>
                        </pic:spPr>
                      </pic:pic>
                    </a:graphicData>
                  </a:graphic>
                </wp:anchor>
              </w:drawing>
            </w:r>
            <w:r>
              <w:rPr>
                <w:rFonts w:hint="eastAsia" w:ascii="楷体" w:hAnsi="楷体" w:eastAsia="楷体" w:cs="宋体"/>
                <w:bCs/>
                <w:sz w:val="24"/>
                <w:szCs w:val="24"/>
              </w:rPr>
              <w:drawing>
                <wp:anchor distT="0" distB="0" distL="114300" distR="114300" simplePos="0" relativeHeight="251803648" behindDoc="0" locked="0" layoutInCell="1" allowOverlap="1">
                  <wp:simplePos x="0" y="0"/>
                  <wp:positionH relativeFrom="column">
                    <wp:posOffset>2091055</wp:posOffset>
                  </wp:positionH>
                  <wp:positionV relativeFrom="paragraph">
                    <wp:posOffset>55880</wp:posOffset>
                  </wp:positionV>
                  <wp:extent cx="1493520" cy="2209800"/>
                  <wp:effectExtent l="0" t="0" r="5080" b="0"/>
                  <wp:wrapNone/>
                  <wp:docPr id="24" name="图片 7" descr="新文档 04-08-2020 22.29.22_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7" descr="新文档 04-08-2020 22.29.22_17"/>
                          <pic:cNvPicPr>
                            <a:picLocks noChangeAspect="1"/>
                          </pic:cNvPicPr>
                        </pic:nvPicPr>
                        <pic:blipFill>
                          <a:blip r:embed="rId19"/>
                          <a:stretch>
                            <a:fillRect/>
                          </a:stretch>
                        </pic:blipFill>
                        <pic:spPr>
                          <a:xfrm>
                            <a:off x="0" y="0"/>
                            <a:ext cx="1493520" cy="2209800"/>
                          </a:xfrm>
                          <a:prstGeom prst="rect">
                            <a:avLst/>
                          </a:prstGeom>
                          <a:noFill/>
                          <a:ln>
                            <a:noFill/>
                          </a:ln>
                        </pic:spPr>
                      </pic:pic>
                    </a:graphicData>
                  </a:graphic>
                </wp:anchor>
              </w:drawing>
            </w:r>
          </w:p>
          <w:p>
            <w:pPr>
              <w:spacing w:line="360" w:lineRule="auto"/>
              <w:ind w:firstLine="480" w:firstLineChars="200"/>
              <w:rPr>
                <w:rFonts w:ascii="楷体" w:hAnsi="楷体" w:eastAsia="楷体" w:cs="宋体"/>
                <w:bCs/>
                <w:sz w:val="24"/>
                <w:szCs w:val="24"/>
              </w:rPr>
            </w:pPr>
          </w:p>
          <w:p>
            <w:pPr>
              <w:spacing w:line="360" w:lineRule="auto"/>
              <w:ind w:firstLine="480" w:firstLineChars="200"/>
              <w:rPr>
                <w:rFonts w:ascii="楷体" w:hAnsi="楷体" w:eastAsia="楷体" w:cs="宋体"/>
                <w:bCs/>
                <w:sz w:val="24"/>
                <w:szCs w:val="24"/>
              </w:rPr>
            </w:pPr>
          </w:p>
          <w:p>
            <w:pPr>
              <w:spacing w:line="360" w:lineRule="auto"/>
              <w:ind w:firstLine="480" w:firstLineChars="200"/>
              <w:rPr>
                <w:rFonts w:ascii="楷体" w:hAnsi="楷体" w:eastAsia="楷体" w:cs="宋体"/>
                <w:bCs/>
                <w:sz w:val="24"/>
                <w:szCs w:val="24"/>
              </w:rPr>
            </w:pPr>
          </w:p>
          <w:p>
            <w:pPr>
              <w:spacing w:line="360" w:lineRule="auto"/>
              <w:ind w:firstLine="480" w:firstLineChars="200"/>
              <w:rPr>
                <w:rFonts w:ascii="楷体" w:hAnsi="楷体" w:eastAsia="楷体" w:cs="宋体"/>
                <w:bCs/>
                <w:sz w:val="24"/>
                <w:szCs w:val="24"/>
              </w:rPr>
            </w:pPr>
          </w:p>
          <w:p>
            <w:pPr>
              <w:spacing w:line="360" w:lineRule="auto"/>
              <w:ind w:firstLine="480" w:firstLineChars="200"/>
              <w:rPr>
                <w:rFonts w:ascii="楷体" w:hAnsi="楷体" w:eastAsia="楷体" w:cs="宋体"/>
                <w:bCs/>
                <w:sz w:val="24"/>
                <w:szCs w:val="24"/>
              </w:rPr>
            </w:pPr>
          </w:p>
          <w:p>
            <w:pPr>
              <w:spacing w:line="360" w:lineRule="auto"/>
              <w:ind w:firstLine="480" w:firstLineChars="200"/>
              <w:rPr>
                <w:rFonts w:ascii="楷体" w:hAnsi="楷体" w:eastAsia="楷体" w:cs="宋体"/>
                <w:bCs/>
                <w:sz w:val="24"/>
                <w:szCs w:val="24"/>
              </w:rPr>
            </w:pPr>
          </w:p>
          <w:p>
            <w:pPr>
              <w:spacing w:line="360" w:lineRule="auto"/>
              <w:ind w:firstLine="480" w:firstLineChars="200"/>
              <w:rPr>
                <w:rFonts w:ascii="楷体" w:hAnsi="楷体" w:eastAsia="楷体" w:cs="宋体"/>
                <w:bCs/>
                <w:sz w:val="24"/>
                <w:szCs w:val="24"/>
              </w:rPr>
            </w:pPr>
          </w:p>
          <w:p>
            <w:pPr>
              <w:spacing w:line="360" w:lineRule="auto"/>
              <w:rPr>
                <w:rFonts w:ascii="宋体" w:hAnsi="宋体" w:cs="宋体"/>
                <w:bCs/>
                <w:szCs w:val="21"/>
              </w:rPr>
            </w:pPr>
            <w:r>
              <w:rPr>
                <w:rFonts w:hint="eastAsia" w:ascii="宋体" w:hAnsi="宋体" w:cs="宋体"/>
                <w:bCs/>
                <w:szCs w:val="21"/>
              </w:rPr>
              <w:drawing>
                <wp:anchor distT="0" distB="0" distL="114300" distR="114300" simplePos="0" relativeHeight="251810816" behindDoc="0" locked="0" layoutInCell="1" allowOverlap="1">
                  <wp:simplePos x="0" y="0"/>
                  <wp:positionH relativeFrom="column">
                    <wp:posOffset>2238375</wp:posOffset>
                  </wp:positionH>
                  <wp:positionV relativeFrom="paragraph">
                    <wp:posOffset>66675</wp:posOffset>
                  </wp:positionV>
                  <wp:extent cx="2060575" cy="2976245"/>
                  <wp:effectExtent l="0" t="0" r="9525" b="8255"/>
                  <wp:wrapNone/>
                  <wp:docPr id="35" name="图片 35" descr="f0e113e736b929896397de72155137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f0e113e736b929896397de72155137e"/>
                          <pic:cNvPicPr>
                            <a:picLocks noChangeAspect="1"/>
                          </pic:cNvPicPr>
                        </pic:nvPicPr>
                        <pic:blipFill>
                          <a:blip r:embed="rId20"/>
                          <a:stretch>
                            <a:fillRect/>
                          </a:stretch>
                        </pic:blipFill>
                        <pic:spPr>
                          <a:xfrm>
                            <a:off x="0" y="0"/>
                            <a:ext cx="2060575" cy="2976245"/>
                          </a:xfrm>
                          <a:prstGeom prst="rect">
                            <a:avLst/>
                          </a:prstGeom>
                        </pic:spPr>
                      </pic:pic>
                    </a:graphicData>
                  </a:graphic>
                </wp:anchor>
              </w:drawing>
            </w:r>
            <w:r>
              <w:rPr>
                <w:rFonts w:hint="eastAsia" w:ascii="楷体" w:hAnsi="楷体" w:eastAsia="楷体" w:cs="宋体"/>
                <w:bCs/>
                <w:sz w:val="24"/>
                <w:szCs w:val="24"/>
              </w:rPr>
              <w:drawing>
                <wp:anchor distT="0" distB="0" distL="114300" distR="114300" simplePos="0" relativeHeight="251805696" behindDoc="0" locked="0" layoutInCell="1" allowOverlap="1">
                  <wp:simplePos x="0" y="0"/>
                  <wp:positionH relativeFrom="column">
                    <wp:posOffset>4346575</wp:posOffset>
                  </wp:positionH>
                  <wp:positionV relativeFrom="paragraph">
                    <wp:posOffset>129540</wp:posOffset>
                  </wp:positionV>
                  <wp:extent cx="1964690" cy="2911475"/>
                  <wp:effectExtent l="0" t="0" r="3810" b="9525"/>
                  <wp:wrapNone/>
                  <wp:docPr id="27" name="图片 6" descr="新文档 04-08-2020 22.29.22_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6" descr="新文档 04-08-2020 22.29.22_21"/>
                          <pic:cNvPicPr>
                            <a:picLocks noChangeAspect="1"/>
                          </pic:cNvPicPr>
                        </pic:nvPicPr>
                        <pic:blipFill>
                          <a:blip r:embed="rId21"/>
                          <a:stretch>
                            <a:fillRect/>
                          </a:stretch>
                        </pic:blipFill>
                        <pic:spPr>
                          <a:xfrm>
                            <a:off x="0" y="0"/>
                            <a:ext cx="1964690" cy="2911475"/>
                          </a:xfrm>
                          <a:prstGeom prst="rect">
                            <a:avLst/>
                          </a:prstGeom>
                          <a:noFill/>
                          <a:ln>
                            <a:noFill/>
                          </a:ln>
                        </pic:spPr>
                      </pic:pic>
                    </a:graphicData>
                  </a:graphic>
                </wp:anchor>
              </w:drawing>
            </w: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r>
              <w:rPr>
                <w:rFonts w:hint="eastAsia" w:ascii="宋体" w:hAnsi="宋体" w:cs="宋体"/>
                <w:bCs/>
                <w:szCs w:val="21"/>
              </w:rPr>
              <w:drawing>
                <wp:anchor distT="0" distB="0" distL="114300" distR="114300" simplePos="0" relativeHeight="251809792" behindDoc="0" locked="0" layoutInCell="1" allowOverlap="1">
                  <wp:simplePos x="0" y="0"/>
                  <wp:positionH relativeFrom="column">
                    <wp:posOffset>0</wp:posOffset>
                  </wp:positionH>
                  <wp:positionV relativeFrom="paragraph">
                    <wp:posOffset>-1177290</wp:posOffset>
                  </wp:positionV>
                  <wp:extent cx="2129790" cy="3123565"/>
                  <wp:effectExtent l="0" t="0" r="3810" b="635"/>
                  <wp:wrapNone/>
                  <wp:docPr id="33" name="图片 33" descr="新文档 04-08-2020 22.29.22_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新文档 04-08-2020 22.29.22_19"/>
                          <pic:cNvPicPr>
                            <a:picLocks noChangeAspect="1"/>
                          </pic:cNvPicPr>
                        </pic:nvPicPr>
                        <pic:blipFill>
                          <a:blip r:embed="rId22"/>
                          <a:stretch>
                            <a:fillRect/>
                          </a:stretch>
                        </pic:blipFill>
                        <pic:spPr>
                          <a:xfrm>
                            <a:off x="0" y="0"/>
                            <a:ext cx="2129790" cy="3123565"/>
                          </a:xfrm>
                          <a:prstGeom prst="rect">
                            <a:avLst/>
                          </a:prstGeom>
                        </pic:spPr>
                      </pic:pic>
                    </a:graphicData>
                  </a:graphic>
                </wp:anchor>
              </w:drawing>
            </w: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r>
              <w:rPr>
                <w:rFonts w:hint="eastAsia" w:ascii="宋体" w:hAnsi="宋体" w:cs="宋体"/>
                <w:bCs/>
                <w:szCs w:val="21"/>
              </w:rPr>
              <w:t>4）环保设施包括：空气净化器、垃圾桶、消防设施；</w:t>
            </w:r>
          </w:p>
          <w:p>
            <w:pPr>
              <w:spacing w:line="360" w:lineRule="auto"/>
              <w:ind w:firstLine="210" w:firstLineChars="100"/>
              <w:rPr>
                <w:rFonts w:ascii="宋体" w:hAnsi="宋体" w:cs="宋体"/>
                <w:bCs/>
                <w:szCs w:val="21"/>
              </w:rPr>
            </w:pPr>
            <w:r>
              <w:rPr>
                <w:rFonts w:hint="eastAsia" w:ascii="宋体" w:hAnsi="宋体" w:cs="宋体"/>
                <w:bCs/>
                <w:szCs w:val="21"/>
              </w:rPr>
              <w:t>安全设施配置主要有：标识牌、灭火器、消防器材等，专业计量室定期维护与保养。</w:t>
            </w:r>
          </w:p>
          <w:p>
            <w:pPr>
              <w:spacing w:line="360" w:lineRule="auto"/>
              <w:ind w:firstLine="420" w:firstLineChars="200"/>
              <w:rPr>
                <w:rFonts w:ascii="宋体" w:hAnsi="宋体" w:cs="宋体"/>
                <w:szCs w:val="21"/>
              </w:rPr>
            </w:pPr>
            <w:r>
              <w:rPr>
                <w:rFonts w:hint="eastAsia" w:ascii="宋体" w:hAnsi="宋体" w:cs="宋体"/>
                <w:bCs/>
                <w:szCs w:val="21"/>
              </w:rPr>
              <w:t>见：依照计划进行设备设施的升级、维护、更换、配备，相关设施配备和管理比较完善。</w:t>
            </w:r>
          </w:p>
          <w:p>
            <w:pPr>
              <w:spacing w:line="360" w:lineRule="auto"/>
              <w:rPr>
                <w:rFonts w:ascii="宋体" w:hAnsi="宋体" w:cs="宋体"/>
                <w:szCs w:val="21"/>
              </w:rPr>
            </w:pPr>
            <w:r>
              <w:rPr>
                <w:rFonts w:hint="eastAsia" w:ascii="宋体" w:hAnsi="宋体" w:cs="宋体"/>
                <w:szCs w:val="21"/>
              </w:rPr>
              <w:t>5）查设备保养：负责人介绍了设备管理相关要求，提供了《计量设施维护保养计划》，计划编制李楠，批准：周东福，日期：2019年 1月 7日。</w:t>
            </w:r>
          </w:p>
          <w:p>
            <w:pPr>
              <w:spacing w:line="360" w:lineRule="auto"/>
              <w:rPr>
                <w:rFonts w:ascii="宋体" w:hAnsi="宋体" w:cs="宋体"/>
                <w:szCs w:val="21"/>
              </w:rPr>
            </w:pPr>
            <w:r>
              <w:rPr>
                <w:rFonts w:hint="eastAsia" w:ascii="宋体" w:hAnsi="宋体" w:cs="宋体"/>
                <w:szCs w:val="21"/>
              </w:rPr>
              <w:t>抽查：2019年计量设备保养记录，均能按计划进行保养。</w:t>
            </w:r>
          </w:p>
          <w:p>
            <w:pPr>
              <w:pStyle w:val="4"/>
            </w:pPr>
          </w:p>
          <w:p>
            <w:pPr>
              <w:spacing w:line="360" w:lineRule="auto"/>
              <w:rPr>
                <w:rFonts w:ascii="宋体" w:hAnsi="宋体" w:cs="宋体"/>
                <w:szCs w:val="21"/>
              </w:rPr>
            </w:pPr>
            <w:r>
              <w:rPr>
                <w:rFonts w:hint="eastAsia" w:ascii="宋体" w:hAnsi="宋体" w:cs="宋体"/>
                <w:szCs w:val="21"/>
              </w:rPr>
              <w:drawing>
                <wp:anchor distT="0" distB="0" distL="114300" distR="114300" simplePos="0" relativeHeight="251660288" behindDoc="0" locked="0" layoutInCell="1" allowOverlap="1">
                  <wp:simplePos x="0" y="0"/>
                  <wp:positionH relativeFrom="column">
                    <wp:posOffset>4278630</wp:posOffset>
                  </wp:positionH>
                  <wp:positionV relativeFrom="paragraph">
                    <wp:posOffset>68580</wp:posOffset>
                  </wp:positionV>
                  <wp:extent cx="1986915" cy="2649855"/>
                  <wp:effectExtent l="0" t="0" r="6985" b="4445"/>
                  <wp:wrapNone/>
                  <wp:docPr id="4" name="图片 4" descr="P00401-1053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P00401-105303"/>
                          <pic:cNvPicPr>
                            <a:picLocks noChangeAspect="1"/>
                          </pic:cNvPicPr>
                        </pic:nvPicPr>
                        <pic:blipFill>
                          <a:blip r:embed="rId23"/>
                          <a:stretch>
                            <a:fillRect/>
                          </a:stretch>
                        </pic:blipFill>
                        <pic:spPr>
                          <a:xfrm>
                            <a:off x="0" y="0"/>
                            <a:ext cx="1986915" cy="2649855"/>
                          </a:xfrm>
                          <a:prstGeom prst="rect">
                            <a:avLst/>
                          </a:prstGeom>
                        </pic:spPr>
                      </pic:pic>
                    </a:graphicData>
                  </a:graphic>
                </wp:anchor>
              </w:drawing>
            </w:r>
            <w:r>
              <w:rPr>
                <w:rFonts w:hint="eastAsia" w:ascii="宋体" w:hAnsi="宋体" w:cs="宋体"/>
                <w:szCs w:val="21"/>
              </w:rPr>
              <w:drawing>
                <wp:anchor distT="0" distB="0" distL="114300" distR="114300" simplePos="0" relativeHeight="251659264" behindDoc="0" locked="0" layoutInCell="1" allowOverlap="1">
                  <wp:simplePos x="0" y="0"/>
                  <wp:positionH relativeFrom="column">
                    <wp:posOffset>2119630</wp:posOffset>
                  </wp:positionH>
                  <wp:positionV relativeFrom="paragraph">
                    <wp:posOffset>29845</wp:posOffset>
                  </wp:positionV>
                  <wp:extent cx="2066925" cy="2733040"/>
                  <wp:effectExtent l="0" t="0" r="3175" b="10160"/>
                  <wp:wrapNone/>
                  <wp:docPr id="3" name="图片 3" descr="P00401-1051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P00401-105115"/>
                          <pic:cNvPicPr>
                            <a:picLocks noChangeAspect="1"/>
                          </pic:cNvPicPr>
                        </pic:nvPicPr>
                        <pic:blipFill>
                          <a:blip r:embed="rId24"/>
                          <a:srcRect l="9447" t="6072" r="2699" b="6820"/>
                          <a:stretch>
                            <a:fillRect/>
                          </a:stretch>
                        </pic:blipFill>
                        <pic:spPr>
                          <a:xfrm>
                            <a:off x="0" y="0"/>
                            <a:ext cx="2066925" cy="2733040"/>
                          </a:xfrm>
                          <a:prstGeom prst="rect">
                            <a:avLst/>
                          </a:prstGeom>
                        </pic:spPr>
                      </pic:pic>
                    </a:graphicData>
                  </a:graphic>
                </wp:anchor>
              </w:drawing>
            </w:r>
            <w:r>
              <w:rPr>
                <w:rFonts w:hint="eastAsia" w:ascii="宋体" w:hAnsi="宋体" w:cs="宋体"/>
                <w:szCs w:val="21"/>
              </w:rPr>
              <w:drawing>
                <wp:anchor distT="0" distB="0" distL="114300" distR="114300" simplePos="0" relativeHeight="251658240" behindDoc="0" locked="0" layoutInCell="1" allowOverlap="1">
                  <wp:simplePos x="0" y="0"/>
                  <wp:positionH relativeFrom="column">
                    <wp:posOffset>0</wp:posOffset>
                  </wp:positionH>
                  <wp:positionV relativeFrom="paragraph">
                    <wp:posOffset>23495</wp:posOffset>
                  </wp:positionV>
                  <wp:extent cx="1998980" cy="2665730"/>
                  <wp:effectExtent l="0" t="0" r="7620" b="1270"/>
                  <wp:wrapNone/>
                  <wp:docPr id="2" name="图片 2" descr="P00401-1049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P00401-104939"/>
                          <pic:cNvPicPr>
                            <a:picLocks noChangeAspect="1"/>
                          </pic:cNvPicPr>
                        </pic:nvPicPr>
                        <pic:blipFill>
                          <a:blip r:embed="rId25"/>
                          <a:stretch>
                            <a:fillRect/>
                          </a:stretch>
                        </pic:blipFill>
                        <pic:spPr>
                          <a:xfrm>
                            <a:off x="0" y="0"/>
                            <a:ext cx="1998980" cy="2665730"/>
                          </a:xfrm>
                          <a:prstGeom prst="rect">
                            <a:avLst/>
                          </a:prstGeom>
                        </pic:spPr>
                      </pic:pic>
                    </a:graphicData>
                  </a:graphic>
                </wp:anchor>
              </w:drawing>
            </w: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r>
              <w:rPr>
                <w:rFonts w:hint="eastAsia" w:ascii="宋体" w:hAnsi="宋体" w:cs="宋体"/>
                <w:szCs w:val="21"/>
              </w:rPr>
              <w:t>6）查特种设备： 经确认，目前无特种设备。</w:t>
            </w:r>
          </w:p>
          <w:p>
            <w:pPr>
              <w:spacing w:line="360" w:lineRule="auto"/>
              <w:ind w:left="420"/>
              <w:rPr>
                <w:rFonts w:ascii="楷体" w:hAnsi="楷体" w:eastAsia="楷体" w:cs="Arial"/>
                <w:sz w:val="24"/>
                <w:szCs w:val="24"/>
              </w:rPr>
            </w:pPr>
            <w:r>
              <w:rPr>
                <w:rFonts w:hint="eastAsia" w:ascii="宋体" w:hAnsi="宋体" w:cs="宋体"/>
                <w:szCs w:val="21"/>
              </w:rPr>
              <w:t>基础设施管理基本可以满足公司目前体系运行的需要。</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68" w:hRule="atLeast"/>
        </w:trPr>
        <w:tc>
          <w:tcPr>
            <w:tcW w:w="1809" w:type="dxa"/>
            <w:vMerge w:val="restart"/>
            <w:vAlign w:val="center"/>
          </w:tcPr>
          <w:p>
            <w:pPr>
              <w:rPr>
                <w:rFonts w:ascii="宋体" w:hAnsi="宋体"/>
                <w:szCs w:val="21"/>
              </w:rPr>
            </w:pPr>
            <w:r>
              <w:rPr>
                <w:rFonts w:hint="eastAsia" w:ascii="楷体" w:hAnsi="楷体" w:eastAsia="楷体"/>
                <w:sz w:val="24"/>
                <w:szCs w:val="24"/>
              </w:rPr>
              <w:t>过程运行环境</w:t>
            </w:r>
          </w:p>
          <w:p>
            <w:pPr>
              <w:tabs>
                <w:tab w:val="center" w:pos="3169"/>
              </w:tabs>
              <w:spacing w:line="400" w:lineRule="exact"/>
              <w:jc w:val="left"/>
              <w:rPr>
                <w:rFonts w:ascii="宋体" w:hAnsi="宋体" w:cs="宋体"/>
                <w:szCs w:val="21"/>
                <w:lang w:bidi="ar"/>
              </w:rPr>
            </w:pPr>
          </w:p>
          <w:p>
            <w:pPr>
              <w:tabs>
                <w:tab w:val="center" w:pos="3169"/>
              </w:tabs>
              <w:spacing w:line="400" w:lineRule="exact"/>
              <w:jc w:val="left"/>
              <w:rPr>
                <w:rFonts w:ascii="宋体" w:hAnsi="宋体" w:cs="宋体"/>
                <w:szCs w:val="21"/>
                <w:lang w:bidi="ar"/>
              </w:rPr>
            </w:pPr>
          </w:p>
          <w:p>
            <w:pPr>
              <w:tabs>
                <w:tab w:val="center" w:pos="3169"/>
              </w:tabs>
              <w:spacing w:line="400" w:lineRule="exact"/>
              <w:jc w:val="left"/>
              <w:rPr>
                <w:rFonts w:ascii="宋体" w:hAnsi="宋体" w:cs="宋体"/>
                <w:szCs w:val="21"/>
                <w:lang w:bidi="ar"/>
              </w:rPr>
            </w:pPr>
          </w:p>
          <w:p>
            <w:pPr>
              <w:tabs>
                <w:tab w:val="center" w:pos="3169"/>
              </w:tabs>
              <w:spacing w:line="400" w:lineRule="exact"/>
              <w:jc w:val="left"/>
              <w:rPr>
                <w:color w:val="000000" w:themeColor="text1"/>
                <w:szCs w:val="21"/>
              </w:rPr>
            </w:pPr>
          </w:p>
        </w:tc>
        <w:tc>
          <w:tcPr>
            <w:tcW w:w="1311" w:type="dxa"/>
            <w:vMerge w:val="restart"/>
          </w:tcPr>
          <w:p>
            <w:pPr>
              <w:spacing w:line="360" w:lineRule="auto"/>
              <w:rPr>
                <w:rFonts w:ascii="楷体" w:hAnsi="楷体" w:eastAsia="楷体"/>
                <w:sz w:val="24"/>
                <w:szCs w:val="24"/>
              </w:rPr>
            </w:pPr>
          </w:p>
          <w:p>
            <w:pPr>
              <w:spacing w:line="360" w:lineRule="auto"/>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p>
          <w:p>
            <w:pPr>
              <w:spacing w:line="360" w:lineRule="auto"/>
              <w:ind w:firstLine="240" w:firstLineChars="100"/>
              <w:rPr>
                <w:rFonts w:ascii="楷体" w:hAnsi="楷体" w:eastAsia="楷体"/>
                <w:sz w:val="24"/>
                <w:szCs w:val="24"/>
              </w:rPr>
            </w:pPr>
            <w:r>
              <w:rPr>
                <w:rFonts w:hint="eastAsia" w:ascii="楷体" w:hAnsi="楷体" w:eastAsia="楷体"/>
                <w:sz w:val="24"/>
                <w:szCs w:val="24"/>
              </w:rPr>
              <w:t>Q</w:t>
            </w:r>
            <w:r>
              <w:rPr>
                <w:rFonts w:ascii="楷体" w:hAnsi="楷体" w:eastAsia="楷体"/>
                <w:sz w:val="24"/>
                <w:szCs w:val="24"/>
              </w:rPr>
              <w:t>7.1.</w:t>
            </w:r>
            <w:r>
              <w:rPr>
                <w:rFonts w:hint="eastAsia" w:ascii="楷体" w:hAnsi="楷体" w:eastAsia="楷体" w:cs="Arial"/>
                <w:sz w:val="24"/>
                <w:szCs w:val="24"/>
              </w:rPr>
              <w:t>4</w:t>
            </w: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p>
            <w:pPr>
              <w:spacing w:line="360" w:lineRule="auto"/>
              <w:rPr>
                <w:rFonts w:ascii="宋体" w:hAnsi="宋体" w:cs="Arial"/>
                <w:szCs w:val="21"/>
              </w:rPr>
            </w:pPr>
          </w:p>
        </w:tc>
        <w:tc>
          <w:tcPr>
            <w:tcW w:w="10237" w:type="dxa"/>
            <w:vMerge w:val="restart"/>
          </w:tcPr>
          <w:p>
            <w:pPr>
              <w:spacing w:line="360" w:lineRule="auto"/>
            </w:pPr>
            <w:r>
              <w:rPr>
                <w:rFonts w:hint="eastAsia"/>
              </w:rPr>
              <w:t>1）设备检测的技术管理、研发和办公过程对环境要求一般，无特殊要求，办公室环境卫生较好。</w:t>
            </w:r>
          </w:p>
          <w:p>
            <w:pPr>
              <w:spacing w:line="360" w:lineRule="auto"/>
            </w:pPr>
            <w:r>
              <w:rPr>
                <w:rFonts w:hint="eastAsia"/>
              </w:rPr>
              <w:t>视频巡视：办公环境光照、温度适宜，通风良好，电路布线合理、电气插座完整，未见破损，办公场所物品摆放整齐、有序，未见随意乱放私人物品的情况，未见用电不当等安全隐患及不良影响现象。</w:t>
            </w:r>
          </w:p>
          <w:p>
            <w:pPr>
              <w:spacing w:line="360" w:lineRule="auto"/>
            </w:pPr>
            <w:r>
              <w:rPr>
                <w:rFonts w:hint="eastAsia"/>
              </w:rPr>
              <w:t>2）检测过程对环境要求有要求，采用空调控制温度，企业确定并提供了检测要求所需的工作环境，工作环境适宜，对环境温度、湿度进行监控现有工作环境能满足检测的需要。</w:t>
            </w:r>
          </w:p>
          <w:p>
            <w:pPr>
              <w:pStyle w:val="2"/>
            </w:pPr>
            <w:r>
              <w:rPr>
                <w:rFonts w:hint="eastAsia" w:ascii="宋体" w:hAnsi="宋体"/>
                <w:szCs w:val="21"/>
              </w:rPr>
              <w:drawing>
                <wp:anchor distT="0" distB="0" distL="114300" distR="114300" simplePos="0" relativeHeight="251735040" behindDoc="0" locked="0" layoutInCell="1" allowOverlap="1">
                  <wp:simplePos x="0" y="0"/>
                  <wp:positionH relativeFrom="column">
                    <wp:posOffset>3164840</wp:posOffset>
                  </wp:positionH>
                  <wp:positionV relativeFrom="paragraph">
                    <wp:posOffset>3810</wp:posOffset>
                  </wp:positionV>
                  <wp:extent cx="3022600" cy="2268220"/>
                  <wp:effectExtent l="0" t="0" r="0" b="5080"/>
                  <wp:wrapNone/>
                  <wp:docPr id="9" name="图片 9" descr="f203c974f828a6d622ed7aeabc7cc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f203c974f828a6d622ed7aeabc7cc09"/>
                          <pic:cNvPicPr>
                            <a:picLocks noChangeAspect="1"/>
                          </pic:cNvPicPr>
                        </pic:nvPicPr>
                        <pic:blipFill>
                          <a:blip r:embed="rId26"/>
                          <a:stretch>
                            <a:fillRect/>
                          </a:stretch>
                        </pic:blipFill>
                        <pic:spPr>
                          <a:xfrm>
                            <a:off x="0" y="0"/>
                            <a:ext cx="3022600" cy="2268220"/>
                          </a:xfrm>
                          <a:prstGeom prst="rect">
                            <a:avLst/>
                          </a:prstGeom>
                        </pic:spPr>
                      </pic:pic>
                    </a:graphicData>
                  </a:graphic>
                </wp:anchor>
              </w:drawing>
            </w:r>
            <w:r>
              <w:rPr>
                <w:rFonts w:hint="eastAsia" w:ascii="宋体" w:hAnsi="宋体"/>
                <w:szCs w:val="21"/>
              </w:rPr>
              <w:drawing>
                <wp:anchor distT="0" distB="0" distL="114300" distR="114300" simplePos="0" relativeHeight="251767808" behindDoc="0" locked="0" layoutInCell="1" allowOverlap="1">
                  <wp:simplePos x="0" y="0"/>
                  <wp:positionH relativeFrom="column">
                    <wp:posOffset>-30480</wp:posOffset>
                  </wp:positionH>
                  <wp:positionV relativeFrom="paragraph">
                    <wp:posOffset>48895</wp:posOffset>
                  </wp:positionV>
                  <wp:extent cx="3114040" cy="2335530"/>
                  <wp:effectExtent l="0" t="0" r="10160" b="1270"/>
                  <wp:wrapNone/>
                  <wp:docPr id="11" name="图片 11" descr="629b5ce4ffa22c54f16cbeadd551ef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629b5ce4ffa22c54f16cbeadd551ef4"/>
                          <pic:cNvPicPr>
                            <a:picLocks noChangeAspect="1"/>
                          </pic:cNvPicPr>
                        </pic:nvPicPr>
                        <pic:blipFill>
                          <a:blip r:embed="rId27"/>
                          <a:stretch>
                            <a:fillRect/>
                          </a:stretch>
                        </pic:blipFill>
                        <pic:spPr>
                          <a:xfrm>
                            <a:off x="0" y="0"/>
                            <a:ext cx="3114040" cy="2335530"/>
                          </a:xfrm>
                          <a:prstGeom prst="rect">
                            <a:avLst/>
                          </a:prstGeom>
                        </pic:spPr>
                      </pic:pic>
                    </a:graphicData>
                  </a:graphic>
                </wp:anchor>
              </w:drawing>
            </w:r>
          </w:p>
          <w:p>
            <w:pPr>
              <w:pStyle w:val="3"/>
              <w:rPr>
                <w:rFonts w:ascii="宋体" w:hAnsi="宋体" w:cs="宋体"/>
                <w:szCs w:val="21"/>
              </w:rPr>
            </w:pPr>
          </w:p>
          <w:p>
            <w:pPr>
              <w:pStyle w:val="3"/>
              <w:rPr>
                <w:rFonts w:ascii="宋体" w:hAnsi="宋体" w:cs="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r>
              <w:rPr>
                <w:rFonts w:hint="eastAsia" w:ascii="宋体" w:hAnsi="宋体"/>
                <w:szCs w:val="21"/>
              </w:rPr>
              <w:drawing>
                <wp:anchor distT="0" distB="0" distL="114300" distR="114300" simplePos="0" relativeHeight="251766784" behindDoc="0" locked="0" layoutInCell="1" allowOverlap="1">
                  <wp:simplePos x="0" y="0"/>
                  <wp:positionH relativeFrom="column">
                    <wp:posOffset>-19685</wp:posOffset>
                  </wp:positionH>
                  <wp:positionV relativeFrom="paragraph">
                    <wp:posOffset>186055</wp:posOffset>
                  </wp:positionV>
                  <wp:extent cx="4481830" cy="2521585"/>
                  <wp:effectExtent l="0" t="0" r="1270" b="5715"/>
                  <wp:wrapNone/>
                  <wp:docPr id="12" name="图片 12" descr="b492a4660a9ea5eaa11e4b0160e591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b492a4660a9ea5eaa11e4b0160e591d"/>
                          <pic:cNvPicPr>
                            <a:picLocks noChangeAspect="1"/>
                          </pic:cNvPicPr>
                        </pic:nvPicPr>
                        <pic:blipFill>
                          <a:blip r:embed="rId28"/>
                          <a:stretch>
                            <a:fillRect/>
                          </a:stretch>
                        </pic:blipFill>
                        <pic:spPr>
                          <a:xfrm>
                            <a:off x="0" y="0"/>
                            <a:ext cx="4481830" cy="2521585"/>
                          </a:xfrm>
                          <a:prstGeom prst="rect">
                            <a:avLst/>
                          </a:prstGeom>
                        </pic:spPr>
                      </pic:pic>
                    </a:graphicData>
                  </a:graphic>
                </wp:anchor>
              </w:drawing>
            </w: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r>
              <w:rPr>
                <w:rFonts w:hint="eastAsia" w:ascii="宋体" w:hAnsi="宋体"/>
                <w:szCs w:val="21"/>
              </w:rPr>
              <w:drawing>
                <wp:anchor distT="0" distB="0" distL="114300" distR="114300" simplePos="0" relativeHeight="251691008" behindDoc="0" locked="0" layoutInCell="1" allowOverlap="1">
                  <wp:simplePos x="0" y="0"/>
                  <wp:positionH relativeFrom="column">
                    <wp:posOffset>3869055</wp:posOffset>
                  </wp:positionH>
                  <wp:positionV relativeFrom="paragraph">
                    <wp:posOffset>139065</wp:posOffset>
                  </wp:positionV>
                  <wp:extent cx="2035810" cy="2630805"/>
                  <wp:effectExtent l="0" t="0" r="8890" b="10795"/>
                  <wp:wrapNone/>
                  <wp:docPr id="10" name="图片 10" descr="8e6f3304a249f533031675d42f5f70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8e6f3304a249f533031675d42f5f70a"/>
                          <pic:cNvPicPr>
                            <a:picLocks noChangeAspect="1"/>
                          </pic:cNvPicPr>
                        </pic:nvPicPr>
                        <pic:blipFill>
                          <a:blip r:embed="rId29"/>
                          <a:srcRect l="6310" t="6017" r="2857" b="6017"/>
                          <a:stretch>
                            <a:fillRect/>
                          </a:stretch>
                        </pic:blipFill>
                        <pic:spPr>
                          <a:xfrm>
                            <a:off x="0" y="0"/>
                            <a:ext cx="2035810" cy="2630805"/>
                          </a:xfrm>
                          <a:prstGeom prst="rect">
                            <a:avLst/>
                          </a:prstGeom>
                        </pic:spPr>
                      </pic:pic>
                    </a:graphicData>
                  </a:graphic>
                </wp:anchor>
              </w:drawing>
            </w:r>
            <w:r>
              <w:rPr>
                <w:rFonts w:hint="eastAsia" w:ascii="宋体" w:hAnsi="宋体"/>
                <w:szCs w:val="21"/>
              </w:rPr>
              <w:drawing>
                <wp:anchor distT="0" distB="0" distL="114300" distR="114300" simplePos="0" relativeHeight="251782144" behindDoc="0" locked="0" layoutInCell="1" allowOverlap="1">
                  <wp:simplePos x="0" y="0"/>
                  <wp:positionH relativeFrom="column">
                    <wp:posOffset>-36195</wp:posOffset>
                  </wp:positionH>
                  <wp:positionV relativeFrom="paragraph">
                    <wp:posOffset>153670</wp:posOffset>
                  </wp:positionV>
                  <wp:extent cx="3535045" cy="2651760"/>
                  <wp:effectExtent l="0" t="0" r="8255" b="2540"/>
                  <wp:wrapNone/>
                  <wp:docPr id="13" name="图片 13" descr="62bf453f886c3290e022973f94210f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62bf453f886c3290e022973f94210ff"/>
                          <pic:cNvPicPr>
                            <a:picLocks noChangeAspect="1"/>
                          </pic:cNvPicPr>
                        </pic:nvPicPr>
                        <pic:blipFill>
                          <a:blip r:embed="rId30"/>
                          <a:stretch>
                            <a:fillRect/>
                          </a:stretch>
                        </pic:blipFill>
                        <pic:spPr>
                          <a:xfrm>
                            <a:off x="0" y="0"/>
                            <a:ext cx="3535045" cy="2651760"/>
                          </a:xfrm>
                          <a:prstGeom prst="rect">
                            <a:avLst/>
                          </a:prstGeom>
                        </pic:spPr>
                      </pic:pic>
                    </a:graphicData>
                  </a:graphic>
                </wp:anchor>
              </w:drawing>
            </w: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rPr>
                <w:rFonts w:ascii="宋体" w:hAnsi="宋体"/>
                <w:szCs w:val="21"/>
              </w:rPr>
            </w:pPr>
          </w:p>
          <w:p>
            <w:pPr>
              <w:pStyle w:val="3"/>
              <w:ind w:firstLine="0"/>
              <w:rPr>
                <w:rFonts w:ascii="宋体" w:hAnsi="宋体"/>
                <w:szCs w:val="21"/>
              </w:rPr>
            </w:pPr>
          </w:p>
          <w:p>
            <w:pPr>
              <w:pStyle w:val="3"/>
              <w:ind w:firstLine="0"/>
              <w:rPr>
                <w:rFonts w:ascii="宋体" w:hAnsi="宋体"/>
                <w:szCs w:val="21"/>
              </w:rPr>
            </w:pP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55" w:hRule="atLeast"/>
        </w:trPr>
        <w:tc>
          <w:tcPr>
            <w:tcW w:w="1809" w:type="dxa"/>
            <w:vMerge w:val="continue"/>
          </w:tcPr>
          <w:p>
            <w:pPr>
              <w:tabs>
                <w:tab w:val="center" w:pos="3169"/>
              </w:tabs>
              <w:spacing w:line="400" w:lineRule="exact"/>
              <w:jc w:val="left"/>
              <w:rPr>
                <w:color w:val="000000" w:themeColor="text1"/>
                <w:szCs w:val="21"/>
              </w:rPr>
            </w:pPr>
          </w:p>
        </w:tc>
        <w:tc>
          <w:tcPr>
            <w:tcW w:w="1311" w:type="dxa"/>
            <w:vMerge w:val="continue"/>
          </w:tcPr>
          <w:p>
            <w:pPr>
              <w:spacing w:line="360" w:lineRule="auto"/>
              <w:rPr>
                <w:rFonts w:ascii="宋体" w:hAnsi="宋体" w:cs="Arial"/>
                <w:szCs w:val="21"/>
              </w:rPr>
            </w:pPr>
          </w:p>
        </w:tc>
        <w:tc>
          <w:tcPr>
            <w:tcW w:w="10237" w:type="dxa"/>
            <w:vMerge w:val="continue"/>
          </w:tcPr>
          <w:p>
            <w:pPr>
              <w:pStyle w:val="3"/>
              <w:ind w:firstLine="0"/>
              <w:rPr>
                <w:rFonts w:ascii="宋体" w:hAnsi="宋体"/>
                <w:szCs w:val="21"/>
              </w:rPr>
            </w:pP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pPr>
              <w:spacing w:line="360" w:lineRule="auto"/>
              <w:rPr>
                <w:rFonts w:ascii="楷体" w:hAnsi="楷体" w:eastAsia="楷体" w:cs="Arial"/>
                <w:bCs/>
                <w:sz w:val="24"/>
                <w:szCs w:val="24"/>
              </w:rPr>
            </w:pPr>
          </w:p>
          <w:p>
            <w:pPr>
              <w:spacing w:line="360" w:lineRule="auto"/>
              <w:rPr>
                <w:rFonts w:ascii="楷体" w:hAnsi="楷体" w:eastAsia="楷体" w:cs="Arial"/>
                <w:bCs/>
                <w:sz w:val="24"/>
                <w:szCs w:val="24"/>
              </w:rPr>
            </w:pPr>
          </w:p>
          <w:p>
            <w:pPr>
              <w:spacing w:line="360" w:lineRule="auto"/>
              <w:rPr>
                <w:rFonts w:ascii="楷体" w:hAnsi="楷体" w:eastAsia="楷体" w:cs="Arial"/>
                <w:bCs/>
                <w:sz w:val="24"/>
                <w:szCs w:val="24"/>
              </w:rPr>
            </w:pPr>
          </w:p>
          <w:p>
            <w:pPr>
              <w:spacing w:line="360" w:lineRule="auto"/>
              <w:rPr>
                <w:rFonts w:ascii="楷体" w:hAnsi="楷体" w:eastAsia="楷体" w:cs="Arial"/>
                <w:bCs/>
                <w:sz w:val="24"/>
                <w:szCs w:val="24"/>
              </w:rPr>
            </w:pPr>
            <w:r>
              <w:rPr>
                <w:rFonts w:hint="eastAsia" w:ascii="楷体" w:hAnsi="楷体" w:eastAsia="楷体" w:cs="Arial"/>
                <w:bCs/>
                <w:sz w:val="24"/>
                <w:szCs w:val="24"/>
              </w:rPr>
              <w:t>运行的策划和控制</w:t>
            </w:r>
          </w:p>
          <w:p>
            <w:pPr>
              <w:spacing w:line="360" w:lineRule="auto"/>
              <w:rPr>
                <w:rFonts w:ascii="楷体" w:hAnsi="楷体" w:eastAsia="楷体" w:cs="Arial"/>
                <w:bCs/>
                <w:sz w:val="24"/>
                <w:szCs w:val="24"/>
              </w:rPr>
            </w:pPr>
          </w:p>
        </w:tc>
        <w:tc>
          <w:tcPr>
            <w:tcW w:w="1311" w:type="dxa"/>
          </w:tcPr>
          <w:p>
            <w:pPr>
              <w:spacing w:line="360" w:lineRule="auto"/>
              <w:rPr>
                <w:rFonts w:ascii="楷体" w:hAnsi="楷体" w:eastAsia="楷体" w:cs="Arial"/>
                <w:sz w:val="24"/>
                <w:szCs w:val="24"/>
              </w:rPr>
            </w:pPr>
          </w:p>
          <w:p>
            <w:pPr>
              <w:spacing w:line="360" w:lineRule="auto"/>
              <w:rPr>
                <w:rFonts w:ascii="楷体" w:hAnsi="楷体" w:eastAsia="楷体" w:cs="Arial"/>
                <w:sz w:val="24"/>
                <w:szCs w:val="24"/>
              </w:rPr>
            </w:pPr>
          </w:p>
          <w:p>
            <w:pPr>
              <w:spacing w:line="360" w:lineRule="auto"/>
              <w:rPr>
                <w:rFonts w:ascii="楷体" w:hAnsi="楷体" w:eastAsia="楷体" w:cs="Arial"/>
                <w:sz w:val="24"/>
                <w:szCs w:val="24"/>
              </w:rPr>
            </w:pPr>
          </w:p>
          <w:p>
            <w:pPr>
              <w:spacing w:line="360" w:lineRule="auto"/>
              <w:rPr>
                <w:rFonts w:ascii="楷体" w:hAnsi="楷体" w:eastAsia="楷体" w:cs="Arial"/>
                <w:sz w:val="24"/>
                <w:szCs w:val="24"/>
              </w:rPr>
            </w:pPr>
            <w:r>
              <w:rPr>
                <w:rFonts w:hint="eastAsia" w:ascii="楷体" w:hAnsi="楷体" w:eastAsia="楷体"/>
                <w:sz w:val="24"/>
                <w:szCs w:val="24"/>
              </w:rPr>
              <w:t>Q;</w:t>
            </w:r>
            <w:r>
              <w:rPr>
                <w:rFonts w:hint="eastAsia" w:ascii="楷体" w:hAnsi="楷体" w:eastAsia="楷体" w:cs="Arial"/>
                <w:sz w:val="24"/>
                <w:szCs w:val="24"/>
              </w:rPr>
              <w:t>8.1</w:t>
            </w:r>
            <w:r>
              <w:rPr>
                <w:rFonts w:ascii="楷体" w:hAnsi="楷体" w:eastAsia="楷体" w:cs="Arial"/>
                <w:sz w:val="24"/>
                <w:szCs w:val="24"/>
              </w:rPr>
              <w:t xml:space="preserve"> </w:t>
            </w:r>
          </w:p>
        </w:tc>
        <w:tc>
          <w:tcPr>
            <w:tcW w:w="10237" w:type="dxa"/>
          </w:tcPr>
          <w:p>
            <w:pPr>
              <w:pStyle w:val="10"/>
              <w:spacing w:line="360" w:lineRule="auto"/>
              <w:ind w:firstLine="0" w:firstLineChars="0"/>
              <w:rPr>
                <w:rFonts w:eastAsia="宋体" w:cs="宋体"/>
                <w:color w:val="auto"/>
                <w:sz w:val="21"/>
                <w:szCs w:val="21"/>
              </w:rPr>
            </w:pPr>
            <w:r>
              <w:rPr>
                <w:rFonts w:hint="eastAsia" w:eastAsia="宋体" w:cs="宋体"/>
                <w:color w:val="auto"/>
                <w:sz w:val="21"/>
                <w:szCs w:val="21"/>
              </w:rPr>
              <w:t>产品实现的策划主要由质量技术部负责完成，过程策划包含了实现产品所需达到的质量目标和要求，公司主要依据客户技术要求、识别计量校准检测规范、编制了计量器具检测校准、设计开发过程、维修和咨询服务流程；</w:t>
            </w:r>
          </w:p>
          <w:p>
            <w:pPr>
              <w:pStyle w:val="10"/>
              <w:spacing w:line="360" w:lineRule="auto"/>
              <w:ind w:firstLine="0" w:firstLineChars="0"/>
              <w:rPr>
                <w:rFonts w:eastAsia="宋体" w:cs="宋体"/>
                <w:color w:val="auto"/>
                <w:sz w:val="21"/>
                <w:szCs w:val="21"/>
              </w:rPr>
            </w:pPr>
            <w:r>
              <w:rPr>
                <w:rFonts w:hint="eastAsia" w:eastAsia="宋体" w:cs="宋体"/>
                <w:color w:val="auto"/>
                <w:sz w:val="21"/>
                <w:szCs w:val="21"/>
              </w:rPr>
              <w:t>针对公司服务过程、开展的各项检验任务，制定了原始记录，检测数据的准确、规范、规定了检测校准、研发、维修产品的检验验收准则、对产品设计开发过程设置了设计开发计划书、评审报告、验证报告、模拟报告、产品鉴定确认报告等记录、公司开检测项目需仪器、标准物质、技术条件要求、设备验收、故障原因核查和维修工作的技术规范、测量设备检定/校准周期检定、测量设备期间核查计划的制定、新检验方法的验证与变更确认。</w:t>
            </w:r>
          </w:p>
          <w:p>
            <w:pPr>
              <w:pStyle w:val="10"/>
              <w:spacing w:line="360" w:lineRule="auto"/>
              <w:ind w:firstLine="0" w:firstLineChars="0"/>
              <w:rPr>
                <w:rFonts w:eastAsia="宋体" w:cs="宋体"/>
                <w:color w:val="auto"/>
                <w:sz w:val="21"/>
                <w:szCs w:val="21"/>
              </w:rPr>
            </w:pPr>
          </w:p>
          <w:p>
            <w:pPr>
              <w:pStyle w:val="10"/>
              <w:spacing w:line="360" w:lineRule="auto"/>
              <w:ind w:firstLine="0" w:firstLineChars="0"/>
              <w:rPr>
                <w:rFonts w:eastAsia="宋体" w:cs="宋体"/>
                <w:color w:val="auto"/>
                <w:sz w:val="21"/>
                <w:szCs w:val="21"/>
              </w:rPr>
            </w:pPr>
            <w:r>
              <w:rPr>
                <w:rFonts w:hint="eastAsia" w:eastAsia="宋体" w:cs="宋体"/>
                <w:color w:val="auto"/>
                <w:sz w:val="21"/>
                <w:szCs w:val="21"/>
              </w:rPr>
              <w:t>确定：</w:t>
            </w:r>
          </w:p>
          <w:p>
            <w:pPr>
              <w:pStyle w:val="10"/>
              <w:numPr>
                <w:ilvl w:val="0"/>
                <w:numId w:val="4"/>
              </w:numPr>
              <w:spacing w:line="360" w:lineRule="auto"/>
              <w:ind w:firstLine="0" w:firstLineChars="0"/>
              <w:rPr>
                <w:rFonts w:eastAsia="宋体" w:cs="宋体"/>
                <w:b/>
                <w:bCs/>
                <w:color w:val="auto"/>
                <w:sz w:val="21"/>
                <w:szCs w:val="21"/>
              </w:rPr>
            </w:pPr>
            <w:r>
              <w:rPr>
                <w:rFonts w:hint="eastAsia" w:eastAsia="宋体" w:cs="宋体"/>
                <w:b/>
                <w:bCs/>
                <w:color w:val="auto"/>
                <w:sz w:val="21"/>
                <w:szCs w:val="21"/>
              </w:rPr>
              <w:t>范围：</w:t>
            </w:r>
          </w:p>
          <w:p>
            <w:pPr>
              <w:spacing w:line="360" w:lineRule="auto"/>
              <w:rPr>
                <w:rFonts w:ascii="宋体" w:hAnsi="宋体" w:cs="宋体"/>
                <w:szCs w:val="21"/>
              </w:rPr>
            </w:pPr>
            <w:r>
              <w:rPr>
                <w:rFonts w:hint="eastAsia" w:ascii="宋体" w:hAnsi="宋体" w:cs="宋体"/>
                <w:szCs w:val="21"/>
              </w:rPr>
              <w:t>智能设备、工业设备、机电产品、电子产品、仪器仪表的计量检测、销售；计量仪器仪表的维修及技术服务；产业计量、环保节能技术软件的研发。</w:t>
            </w:r>
          </w:p>
          <w:p>
            <w:pPr>
              <w:spacing w:line="360" w:lineRule="auto"/>
              <w:jc w:val="left"/>
              <w:rPr>
                <w:rFonts w:ascii="宋体" w:hAnsi="宋体" w:cs="宋体"/>
                <w:b/>
                <w:bCs/>
                <w:szCs w:val="21"/>
              </w:rPr>
            </w:pPr>
            <w:r>
              <w:rPr>
                <w:rFonts w:hint="eastAsia" w:ascii="宋体" w:hAnsi="宋体" w:cs="宋体"/>
                <w:b/>
                <w:bCs/>
                <w:szCs w:val="21"/>
              </w:rPr>
              <w:t>2、公司目标：</w:t>
            </w:r>
          </w:p>
          <w:p>
            <w:pPr>
              <w:numPr>
                <w:ilvl w:val="0"/>
                <w:numId w:val="5"/>
              </w:numPr>
              <w:spacing w:line="360" w:lineRule="auto"/>
              <w:jc w:val="left"/>
              <w:rPr>
                <w:rFonts w:ascii="宋体" w:hAnsi="宋体"/>
                <w:szCs w:val="21"/>
              </w:rPr>
            </w:pPr>
            <w:r>
              <w:rPr>
                <w:rFonts w:hint="eastAsia" w:ascii="宋体" w:hAnsi="宋体"/>
                <w:szCs w:val="21"/>
              </w:rPr>
              <w:t>证书/报告差错率&lt;5‰ ；</w:t>
            </w:r>
          </w:p>
          <w:p>
            <w:pPr>
              <w:numPr>
                <w:ilvl w:val="0"/>
                <w:numId w:val="5"/>
              </w:numPr>
              <w:spacing w:line="360" w:lineRule="auto"/>
              <w:jc w:val="left"/>
              <w:rPr>
                <w:rFonts w:ascii="宋体" w:hAnsi="宋体"/>
                <w:szCs w:val="21"/>
              </w:rPr>
            </w:pPr>
            <w:r>
              <w:rPr>
                <w:rFonts w:hint="eastAsia" w:ascii="宋体" w:hAnsi="宋体"/>
                <w:szCs w:val="21"/>
              </w:rPr>
              <w:t>标准规范使用准确率100%；</w:t>
            </w:r>
          </w:p>
          <w:p>
            <w:pPr>
              <w:spacing w:line="360" w:lineRule="auto"/>
              <w:jc w:val="left"/>
              <w:rPr>
                <w:rFonts w:ascii="宋体" w:hAnsi="宋体"/>
                <w:szCs w:val="21"/>
              </w:rPr>
            </w:pPr>
            <w:r>
              <w:rPr>
                <w:rFonts w:hint="eastAsia" w:ascii="宋体" w:hAnsi="宋体"/>
                <w:szCs w:val="21"/>
              </w:rPr>
              <w:t>3.校准/检测/检定操作准确率100%；</w:t>
            </w:r>
          </w:p>
          <w:p>
            <w:pPr>
              <w:spacing w:line="360" w:lineRule="auto"/>
              <w:jc w:val="left"/>
              <w:rPr>
                <w:rFonts w:ascii="宋体" w:hAnsi="宋体"/>
                <w:szCs w:val="21"/>
              </w:rPr>
            </w:pPr>
            <w:r>
              <w:rPr>
                <w:rFonts w:hint="eastAsia" w:ascii="宋体" w:hAnsi="宋体"/>
                <w:szCs w:val="21"/>
              </w:rPr>
              <w:t>4.校准/检测/检定人员持证上岗率100%；</w:t>
            </w:r>
          </w:p>
          <w:p>
            <w:pPr>
              <w:spacing w:line="360" w:lineRule="auto"/>
              <w:jc w:val="left"/>
              <w:rPr>
                <w:rFonts w:ascii="宋体" w:hAnsi="宋体"/>
                <w:szCs w:val="21"/>
              </w:rPr>
            </w:pPr>
            <w:r>
              <w:rPr>
                <w:rFonts w:hint="eastAsia" w:ascii="宋体" w:hAnsi="宋体"/>
                <w:szCs w:val="21"/>
              </w:rPr>
              <w:t>5.客户投诉/申诉处理率100%；</w:t>
            </w:r>
          </w:p>
          <w:p>
            <w:pPr>
              <w:spacing w:line="360" w:lineRule="auto"/>
              <w:jc w:val="left"/>
              <w:rPr>
                <w:rFonts w:ascii="宋体" w:hAnsi="宋体"/>
                <w:szCs w:val="21"/>
              </w:rPr>
            </w:pPr>
            <w:r>
              <w:rPr>
                <w:rFonts w:hint="eastAsia" w:ascii="宋体" w:hAnsi="宋体"/>
                <w:szCs w:val="21"/>
              </w:rPr>
              <w:t xml:space="preserve">6.客户满意率＞99% ； </w:t>
            </w:r>
          </w:p>
          <w:p>
            <w:pPr>
              <w:spacing w:line="360" w:lineRule="auto"/>
              <w:rPr>
                <w:rFonts w:ascii="楷体" w:hAnsi="楷体" w:eastAsia="楷体" w:cs="楷体"/>
                <w:sz w:val="24"/>
                <w:szCs w:val="24"/>
              </w:rPr>
            </w:pPr>
            <w:r>
              <w:rPr>
                <w:rFonts w:hint="eastAsia" w:ascii="宋体" w:hAnsi="宋体"/>
                <w:szCs w:val="21"/>
              </w:rPr>
              <w:t>7.</w:t>
            </w:r>
            <w:r>
              <w:rPr>
                <w:rFonts w:hint="eastAsia" w:ascii="宋体" w:hAnsi="宋体" w:cs="宋体"/>
                <w:szCs w:val="21"/>
              </w:rPr>
              <w:t>产品设计按计划完成率100%；</w:t>
            </w:r>
          </w:p>
          <w:p>
            <w:pPr>
              <w:spacing w:line="360" w:lineRule="auto"/>
              <w:rPr>
                <w:rFonts w:ascii="楷体" w:hAnsi="楷体" w:eastAsia="楷体" w:cs="宋体"/>
                <w:sz w:val="24"/>
                <w:szCs w:val="24"/>
              </w:rPr>
            </w:pPr>
            <w:r>
              <w:rPr>
                <w:rFonts w:hint="eastAsia" w:ascii="宋体" w:hAnsi="宋体" w:cs="宋体"/>
                <w:b/>
                <w:bCs/>
                <w:szCs w:val="21"/>
              </w:rPr>
              <w:t>3、产品主要执行标准</w:t>
            </w:r>
            <w:r>
              <w:rPr>
                <w:rFonts w:hint="eastAsia" w:ascii="楷体" w:hAnsi="楷体" w:eastAsia="楷体" w:cs="宋体"/>
                <w:sz w:val="24"/>
                <w:szCs w:val="24"/>
              </w:rPr>
              <w:t>：</w:t>
            </w:r>
          </w:p>
          <w:p>
            <w:pPr>
              <w:spacing w:line="360" w:lineRule="auto"/>
              <w:rPr>
                <w:rFonts w:ascii="宋体" w:hAnsi="宋体" w:cs="宋体"/>
                <w:szCs w:val="21"/>
              </w:rPr>
            </w:pPr>
            <w:r>
              <w:rPr>
                <w:rFonts w:hint="eastAsia" w:ascii="宋体" w:hAnsi="宋体" w:cs="宋体"/>
                <w:szCs w:val="21"/>
              </w:rPr>
              <w:t>JJG 205-2005机械式温湿度计检定规程</w:t>
            </w:r>
            <w:r>
              <w:rPr>
                <w:rFonts w:hint="eastAsia" w:ascii="宋体" w:hAnsi="宋体" w:cs="宋体"/>
                <w:szCs w:val="21"/>
              </w:rPr>
              <w:tab/>
            </w:r>
            <w:r>
              <w:rPr>
                <w:rFonts w:hint="eastAsia" w:ascii="宋体" w:hAnsi="宋体" w:cs="宋体"/>
                <w:szCs w:val="21"/>
              </w:rPr>
              <w:t>JJG（苏）99-2010数字温湿度计检定规程</w:t>
            </w:r>
            <w:r>
              <w:rPr>
                <w:rFonts w:hint="eastAsia" w:ascii="宋体" w:hAnsi="宋体" w:cs="宋体"/>
                <w:szCs w:val="21"/>
              </w:rPr>
              <w:tab/>
            </w:r>
            <w:r>
              <w:rPr>
                <w:rFonts w:hint="eastAsia" w:ascii="宋体" w:hAnsi="宋体" w:cs="宋体"/>
                <w:szCs w:val="21"/>
              </w:rPr>
              <w:t>、JJF(苏)96-2010蒸汽灭菌器温度、压力校准规范</w:t>
            </w:r>
            <w:r>
              <w:rPr>
                <w:rFonts w:hint="eastAsia" w:ascii="宋体" w:hAnsi="宋体" w:cs="宋体"/>
                <w:szCs w:val="21"/>
              </w:rPr>
              <w:tab/>
            </w:r>
            <w:r>
              <w:rPr>
                <w:rFonts w:hint="eastAsia" w:ascii="宋体" w:hAnsi="宋体" w:cs="宋体"/>
                <w:szCs w:val="21"/>
              </w:rPr>
              <w:t>、JJG 130-2011工作用玻璃液体温度计、JJG 226-2001双金属温度计检定规程</w:t>
            </w:r>
            <w:r>
              <w:rPr>
                <w:rFonts w:hint="eastAsia" w:ascii="宋体" w:hAnsi="宋体" w:cs="宋体"/>
                <w:szCs w:val="21"/>
              </w:rPr>
              <w:tab/>
            </w:r>
            <w:r>
              <w:rPr>
                <w:rFonts w:hint="eastAsia" w:ascii="宋体" w:hAnsi="宋体" w:cs="宋体"/>
                <w:szCs w:val="21"/>
              </w:rPr>
              <w:t>、JJF 1183-2007温度变送器校准规范、JJG 617-1996数字温度指示调节仪检定规程</w:t>
            </w:r>
            <w:r>
              <w:rPr>
                <w:rFonts w:hint="eastAsia" w:ascii="宋体" w:hAnsi="宋体" w:cs="宋体"/>
                <w:szCs w:val="21"/>
              </w:rPr>
              <w:tab/>
            </w:r>
            <w:r>
              <w:rPr>
                <w:rFonts w:hint="eastAsia" w:ascii="宋体" w:hAnsi="宋体" w:cs="宋体"/>
                <w:szCs w:val="21"/>
              </w:rPr>
              <w:t>、JJF 1637-2017廉金属热电偶校准规范</w:t>
            </w:r>
            <w:r>
              <w:rPr>
                <w:rFonts w:hint="eastAsia" w:ascii="宋体" w:hAnsi="宋体" w:cs="宋体"/>
                <w:szCs w:val="21"/>
              </w:rPr>
              <w:tab/>
            </w:r>
            <w:r>
              <w:rPr>
                <w:rFonts w:hint="eastAsia" w:ascii="宋体" w:hAnsi="宋体" w:cs="宋体"/>
                <w:szCs w:val="21"/>
              </w:rPr>
              <w:t>、JJG 368-2000工作用铜-铜镍热电偶计检定规程</w:t>
            </w:r>
            <w:r>
              <w:rPr>
                <w:rFonts w:hint="eastAsia" w:ascii="宋体" w:hAnsi="宋体" w:cs="宋体"/>
                <w:szCs w:val="21"/>
              </w:rPr>
              <w:tab/>
            </w:r>
            <w:r>
              <w:rPr>
                <w:rFonts w:hint="eastAsia" w:ascii="宋体" w:hAnsi="宋体" w:cs="宋体"/>
                <w:szCs w:val="21"/>
              </w:rPr>
              <w:t>、JJF 1262-2010铠装热电偶校准规范、JJG 229-2010工业铂、铜热电阻检定规程、JJG 310-2002压力式温度计计检定规程、JJG 131-2004电接点玻璃水银温度计检定规程、JJG 874-2007温度指示控制仪计检定规程</w:t>
            </w:r>
            <w:r>
              <w:rPr>
                <w:rFonts w:hint="eastAsia" w:ascii="宋体" w:hAnsi="宋体" w:cs="宋体"/>
                <w:szCs w:val="21"/>
              </w:rPr>
              <w:tab/>
            </w:r>
            <w:r>
              <w:rPr>
                <w:rFonts w:hint="eastAsia" w:ascii="宋体" w:hAnsi="宋体" w:cs="宋体"/>
                <w:szCs w:val="21"/>
              </w:rPr>
              <w:t>、JJF 1171-2007温度巡回检测仪校准规范、JJG（浙）76-2004数字温度计、JJG 951-2000模拟式温度指示调节仪检定规程、JJG 74-2005工业过程测量记录仪检定规程、JJF 1101-2003环境试验设备温度、湿度校准规范、JJF 1030-2010恒温槽技术性测试规范、JJF 1587-2016数字多用表校准规范、JJG 124-2005电流表、电压表、功率表及电阻表检定规程、JJG 1005-2005电子式绝缘电阻表、JJG 622-1997绝缘电阻表（兆欧表）检定规程、JJG 795-2016耐电压测试仪检定规程、JJF(电子)0004-2015安规综合测试仪校准规范、JJF 1075-2015钳形电流表校准规范、JJG 1036-2008电子天平检定规程、JJG 98-2006机械天平检定规程 、JJG 156-2016架盘天平检定规程、JJG 539-2016数字指示秤检定规程、JJG 13-2016模拟指示秤检定规程、JJG 14-2016非自行指示秤检定规程、JJG 241-2002精密杯型和U型液体压力计检定规程、JJG 172-2011倾斜式微压计等</w:t>
            </w:r>
            <w:r>
              <w:rPr>
                <w:rFonts w:hint="eastAsia" w:ascii="宋体" w:hAnsi="宋体" w:cs="宋体"/>
                <w:color w:val="000000"/>
                <w:kern w:val="0"/>
                <w:szCs w:val="21"/>
                <w:lang w:bidi="ar"/>
              </w:rPr>
              <w:t>等184个检定规程及规范</w:t>
            </w:r>
            <w:r>
              <w:rPr>
                <w:rFonts w:hint="eastAsia" w:ascii="宋体" w:hAnsi="宋体" w:cs="宋体"/>
                <w:szCs w:val="21"/>
              </w:rPr>
              <w:t>进行检测和研发服务，编制了相应的过程文件。</w:t>
            </w:r>
          </w:p>
          <w:p>
            <w:pPr>
              <w:widowControl/>
              <w:spacing w:line="360" w:lineRule="auto"/>
              <w:jc w:val="left"/>
              <w:rPr>
                <w:rFonts w:ascii="宋体" w:hAnsi="宋体" w:cs="宋体"/>
                <w:b/>
                <w:bCs/>
                <w:color w:val="000000"/>
                <w:szCs w:val="21"/>
              </w:rPr>
            </w:pPr>
            <w:r>
              <w:rPr>
                <w:rFonts w:hint="eastAsia" w:ascii="宋体" w:hAnsi="宋体" w:cs="宋体"/>
                <w:b/>
                <w:bCs/>
                <w:color w:val="000000"/>
                <w:szCs w:val="21"/>
              </w:rPr>
              <w:t>4、工艺流程</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1.检测/校准服务流程</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委托检测→签订委托协议→综合办公室受理、接收计量设备→计量设备校准→填写原始记录→原始数据校对与审核→检测报告编制、审核与签发。</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2、设计服务流程</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客户设计咨询---质量技术确认---质量技术部出具设计方案---客户确认方案---出具设计方案---用户</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3、咨询服务流程</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用户提出要求—--分析要求—--报价、拟合同—--制定产品指标、产品标准---完善技术文件---提交审核</w:t>
            </w:r>
          </w:p>
          <w:p>
            <w:pPr>
              <w:widowControl/>
              <w:spacing w:line="360" w:lineRule="auto"/>
              <w:jc w:val="left"/>
              <w:rPr>
                <w:rFonts w:ascii="宋体" w:hAnsi="宋体" w:cs="宋体"/>
                <w:color w:val="000000"/>
                <w:kern w:val="0"/>
                <w:szCs w:val="21"/>
                <w:lang w:bidi="ar"/>
              </w:rPr>
            </w:pPr>
            <w:r>
              <w:rPr>
                <w:rFonts w:hint="eastAsia" w:ascii="宋体" w:hAnsi="宋体" w:cs="宋体"/>
                <w:color w:val="000000"/>
                <w:kern w:val="0"/>
                <w:szCs w:val="21"/>
                <w:lang w:bidi="ar"/>
              </w:rPr>
              <w:t>4、销售服务流程</w:t>
            </w:r>
          </w:p>
          <w:p>
            <w:pPr>
              <w:spacing w:line="360" w:lineRule="auto"/>
              <w:rPr>
                <w:rFonts w:ascii="楷体" w:hAnsi="楷体" w:eastAsia="楷体" w:cs="宋体"/>
                <w:sz w:val="24"/>
                <w:szCs w:val="24"/>
              </w:rPr>
            </w:pPr>
            <w:r>
              <w:rPr>
                <w:rFonts w:hint="eastAsia" w:ascii="宋体" w:hAnsi="宋体" w:cs="宋体"/>
                <w:color w:val="000000"/>
                <w:kern w:val="0"/>
                <w:szCs w:val="21"/>
                <w:lang w:bidi="ar"/>
              </w:rPr>
              <w:t xml:space="preserve"> 接收用户订单---签订合同---按照合同要求开始检测任务/合同相关需求—出具收费明细单—开具发票—合同款项回收—合同完成</w:t>
            </w:r>
            <w:r>
              <w:rPr>
                <w:rFonts w:hint="eastAsia" w:ascii="楷体" w:hAnsi="楷体" w:eastAsia="楷体" w:cs="宋体"/>
                <w:sz w:val="24"/>
                <w:szCs w:val="24"/>
              </w:rPr>
              <w:t>。</w:t>
            </w:r>
          </w:p>
          <w:p>
            <w:pPr>
              <w:spacing w:line="360" w:lineRule="auto"/>
              <w:rPr>
                <w:rFonts w:ascii="宋体" w:hAnsi="宋体" w:cs="宋体"/>
                <w:b/>
                <w:bCs/>
                <w:szCs w:val="21"/>
              </w:rPr>
            </w:pPr>
            <w:r>
              <w:rPr>
                <w:rFonts w:hint="eastAsia" w:ascii="宋体" w:hAnsi="宋体" w:cs="宋体"/>
                <w:b/>
                <w:bCs/>
                <w:szCs w:val="21"/>
              </w:rPr>
              <w:t>5、为实现质量目标配置了相应人员</w:t>
            </w:r>
            <w:r>
              <w:rPr>
                <w:rFonts w:hint="eastAsia" w:ascii="宋体" w:hAnsi="宋体" w:cs="宋体"/>
                <w:szCs w:val="21"/>
              </w:rPr>
              <w:t>（如业务人员、技术人员均为大专或以上学历，试验室人员持有操作作业证书、上岗前经过岗前培训，检测人员均经过专业培训等)，见</w:t>
            </w:r>
            <w:r>
              <w:rPr>
                <w:rFonts w:hint="eastAsia" w:ascii="宋体" w:hAnsi="宋体" w:cs="宋体"/>
                <w:kern w:val="0"/>
                <w:szCs w:val="21"/>
              </w:rPr>
              <w:t>7.1.2</w:t>
            </w:r>
            <w:r>
              <w:rPr>
                <w:rFonts w:hint="eastAsia" w:ascii="宋体" w:hAnsi="宋体" w:cs="宋体"/>
                <w:szCs w:val="21"/>
              </w:rPr>
              <w:t>记录条款。</w:t>
            </w:r>
          </w:p>
          <w:p>
            <w:pPr>
              <w:spacing w:line="360" w:lineRule="auto"/>
              <w:rPr>
                <w:rFonts w:ascii="宋体" w:hAnsi="宋体" w:cs="宋体"/>
                <w:bCs/>
                <w:szCs w:val="21"/>
              </w:rPr>
            </w:pPr>
            <w:r>
              <w:rPr>
                <w:rFonts w:hint="eastAsia" w:ascii="宋体" w:hAnsi="宋体" w:cs="宋体"/>
                <w:b/>
                <w:bCs/>
                <w:szCs w:val="21"/>
              </w:rPr>
              <w:t>6、检测设备：</w:t>
            </w:r>
            <w:r>
              <w:rPr>
                <w:rFonts w:hint="eastAsia" w:ascii="宋体" w:hAnsi="宋体" w:cs="宋体"/>
                <w:bCs/>
                <w:szCs w:val="21"/>
              </w:rPr>
              <w:t>见7.1.3记录条款。</w:t>
            </w:r>
          </w:p>
          <w:p>
            <w:pPr>
              <w:spacing w:line="360" w:lineRule="auto"/>
              <w:ind w:firstLine="420" w:firstLineChars="200"/>
              <w:rPr>
                <w:rFonts w:ascii="宋体" w:hAnsi="宋体" w:cs="宋体"/>
                <w:bCs/>
                <w:szCs w:val="21"/>
              </w:rPr>
            </w:pPr>
            <w:r>
              <w:rPr>
                <w:rFonts w:hint="eastAsia" w:ascii="宋体" w:hAnsi="宋体" w:cs="宋体"/>
                <w:bCs/>
                <w:szCs w:val="21"/>
              </w:rPr>
              <w:t>监测资源：提供检定合格证书（见相关证据）。</w:t>
            </w:r>
          </w:p>
          <w:p>
            <w:pPr>
              <w:spacing w:line="360" w:lineRule="auto"/>
              <w:ind w:firstLine="420" w:firstLineChars="200"/>
              <w:rPr>
                <w:rFonts w:ascii="宋体" w:hAnsi="宋体" w:cs="宋体"/>
                <w:bCs/>
                <w:szCs w:val="21"/>
              </w:rPr>
            </w:pPr>
            <w:r>
              <w:rPr>
                <w:rFonts w:hint="eastAsia" w:ascii="宋体" w:hAnsi="宋体" w:cs="宋体"/>
                <w:bCs/>
                <w:szCs w:val="21"/>
              </w:rPr>
              <w:t>办公设备：电脑、打印机、传真机、电话等。提供维修保养计划及记录，满足要求。</w:t>
            </w:r>
          </w:p>
          <w:p>
            <w:pPr>
              <w:pStyle w:val="21"/>
              <w:spacing w:line="360" w:lineRule="auto"/>
              <w:ind w:firstLine="0" w:firstLineChars="0"/>
              <w:rPr>
                <w:rFonts w:ascii="宋体" w:hAnsi="宋体" w:cs="宋体"/>
                <w:szCs w:val="21"/>
              </w:rPr>
            </w:pPr>
            <w:r>
              <w:rPr>
                <w:rFonts w:hint="eastAsia" w:ascii="宋体" w:hAnsi="宋体" w:cs="宋体"/>
                <w:b/>
                <w:bCs/>
                <w:szCs w:val="21"/>
              </w:rPr>
              <w:t>7、编制了相应的作业文件（管理制度）</w:t>
            </w:r>
            <w:r>
              <w:rPr>
                <w:rFonts w:hint="eastAsia" w:ascii="宋体" w:hAnsi="宋体" w:cs="宋体"/>
                <w:szCs w:val="21"/>
              </w:rPr>
              <w:t>：</w:t>
            </w:r>
          </w:p>
          <w:p>
            <w:pPr>
              <w:spacing w:line="360" w:lineRule="auto"/>
              <w:rPr>
                <w:rFonts w:ascii="宋体" w:hAnsi="宋体" w:cs="宋体"/>
                <w:szCs w:val="21"/>
              </w:rPr>
            </w:pPr>
            <w:r>
              <w:rPr>
                <w:rFonts w:hint="eastAsia" w:ascii="宋体" w:hAnsi="宋体" w:cs="宋体"/>
                <w:szCs w:val="21"/>
              </w:rPr>
              <w:t>标准物质、试验室管理制度、样品室管理制度、质量监督工作规范、检测用计算机及软件管理规范、实验室安全管理规范等</w:t>
            </w:r>
          </w:p>
          <w:p>
            <w:pPr>
              <w:spacing w:line="360" w:lineRule="auto"/>
              <w:rPr>
                <w:rFonts w:ascii="宋体" w:hAnsi="宋体" w:cs="宋体"/>
                <w:szCs w:val="21"/>
              </w:rPr>
            </w:pPr>
            <w:r>
              <w:rPr>
                <w:rFonts w:hint="eastAsia" w:ascii="宋体" w:hAnsi="宋体" w:cs="宋体"/>
                <w:b/>
                <w:bCs/>
                <w:szCs w:val="21"/>
              </w:rPr>
              <w:t>8、接收准则</w:t>
            </w:r>
            <w:r>
              <w:rPr>
                <w:rFonts w:hint="eastAsia" w:ascii="宋体" w:hAnsi="宋体" w:cs="宋体"/>
                <w:szCs w:val="21"/>
              </w:rPr>
              <w:t>:依据委托检验合同、相关标准、用户要求等进行接收，以保证交付的服务满足要求</w:t>
            </w:r>
          </w:p>
          <w:p>
            <w:pPr>
              <w:spacing w:line="360" w:lineRule="auto"/>
              <w:rPr>
                <w:rFonts w:ascii="宋体" w:hAnsi="宋体" w:cs="宋体"/>
                <w:szCs w:val="21"/>
              </w:rPr>
            </w:pPr>
            <w:r>
              <w:rPr>
                <w:rFonts w:hint="eastAsia" w:ascii="宋体" w:hAnsi="宋体" w:cs="宋体"/>
                <w:b/>
                <w:bCs/>
                <w:szCs w:val="21"/>
              </w:rPr>
              <w:t>9、记录：</w:t>
            </w:r>
            <w:r>
              <w:rPr>
                <w:rFonts w:hint="eastAsia" w:ascii="宋体" w:hAnsi="宋体" w:cs="宋体"/>
                <w:szCs w:val="21"/>
              </w:rPr>
              <w:t>策划有委托检测合同、检测过程原始记录、检验验证记录、内部审核检查表、首末次会议记录等，基本满足产品实现需要。</w:t>
            </w:r>
          </w:p>
          <w:p>
            <w:pPr>
              <w:tabs>
                <w:tab w:val="left" w:pos="6597"/>
              </w:tabs>
              <w:spacing w:line="360" w:lineRule="auto"/>
              <w:rPr>
                <w:rFonts w:ascii="宋体" w:hAnsi="宋体" w:cs="宋体"/>
                <w:szCs w:val="21"/>
              </w:rPr>
            </w:pPr>
            <w:r>
              <w:rPr>
                <w:rFonts w:hint="eastAsia" w:ascii="宋体" w:hAnsi="宋体" w:cs="宋体"/>
                <w:szCs w:val="21"/>
              </w:rPr>
              <w:t>目前策划基本充分，适合于组织的运行，对于非预期变更，及时进行潜在后果评审，并告知相关人员，目前未发生。经识别企业无外包过程。</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ascii="宋体" w:hAnsi="宋体" w:cs="宋体"/>
                <w:spacing w:val="-10"/>
                <w:szCs w:val="21"/>
              </w:rPr>
            </w:pPr>
          </w:p>
          <w:p>
            <w:pPr>
              <w:spacing w:line="360" w:lineRule="auto"/>
              <w:rPr>
                <w:rFonts w:ascii="宋体" w:hAnsi="宋体" w:cs="宋体"/>
                <w:spacing w:val="-10"/>
                <w:szCs w:val="21"/>
              </w:rPr>
            </w:pPr>
          </w:p>
          <w:p>
            <w:pPr>
              <w:spacing w:line="360" w:lineRule="auto"/>
              <w:rPr>
                <w:rFonts w:ascii="宋体" w:hAnsi="宋体" w:cs="宋体"/>
                <w:spacing w:val="-10"/>
                <w:szCs w:val="21"/>
              </w:rPr>
            </w:pPr>
          </w:p>
          <w:p>
            <w:pPr>
              <w:spacing w:line="360" w:lineRule="auto"/>
              <w:rPr>
                <w:rFonts w:ascii="宋体" w:hAnsi="宋体" w:cs="宋体"/>
                <w:b/>
                <w:szCs w:val="21"/>
              </w:rPr>
            </w:pPr>
            <w:r>
              <w:rPr>
                <w:rFonts w:hint="eastAsia" w:ascii="宋体" w:hAnsi="宋体" w:cs="宋体"/>
                <w:spacing w:val="-10"/>
                <w:szCs w:val="21"/>
              </w:rPr>
              <w:t>产品和服务的设计和开发策划</w:t>
            </w:r>
          </w:p>
        </w:tc>
        <w:tc>
          <w:tcPr>
            <w:tcW w:w="1311" w:type="dxa"/>
          </w:tcPr>
          <w:p>
            <w:pPr>
              <w:spacing w:line="360" w:lineRule="auto"/>
              <w:rPr>
                <w:rFonts w:ascii="宋体" w:hAnsi="宋体" w:cs="宋体"/>
                <w:bCs/>
                <w:szCs w:val="21"/>
              </w:rPr>
            </w:pPr>
            <w:r>
              <w:rPr>
                <w:rFonts w:hint="eastAsia" w:ascii="宋体" w:hAnsi="宋体" w:cs="宋体"/>
                <w:bCs/>
                <w:szCs w:val="21"/>
              </w:rPr>
              <w:t>Q8.3.1总则</w:t>
            </w: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r>
              <w:rPr>
                <w:rFonts w:hint="eastAsia" w:ascii="宋体" w:hAnsi="宋体" w:cs="宋体"/>
                <w:bCs/>
                <w:szCs w:val="21"/>
              </w:rPr>
              <w:t>Q8.3.2</w:t>
            </w:r>
          </w:p>
          <w:p>
            <w:pPr>
              <w:spacing w:line="360" w:lineRule="auto"/>
              <w:rPr>
                <w:rFonts w:ascii="宋体" w:hAnsi="宋体" w:cs="宋体"/>
                <w:szCs w:val="21"/>
              </w:rPr>
            </w:pPr>
          </w:p>
        </w:tc>
        <w:tc>
          <w:tcPr>
            <w:tcW w:w="10237" w:type="dxa"/>
          </w:tcPr>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公司目前主要从事仪器仪表数据检测系统、仪器研发后台管理系统、仪器研发综合数据采集系统、仪器仪表线上技术资讯管理系统、计量器具故障排查系统、环保节能设备技术服务系统的研发。</w:t>
            </w:r>
          </w:p>
          <w:p>
            <w:pPr>
              <w:spacing w:line="360" w:lineRule="auto"/>
              <w:ind w:firstLine="420" w:firstLineChars="200"/>
              <w:rPr>
                <w:rFonts w:ascii="宋体" w:hAnsi="宋体" w:cs="宋体"/>
                <w:szCs w:val="21"/>
              </w:rPr>
            </w:pPr>
            <w:r>
              <w:rPr>
                <w:rFonts w:hint="eastAsia" w:ascii="宋体" w:hAnsi="宋体" w:cs="宋体"/>
                <w:szCs w:val="21"/>
              </w:rPr>
              <w:t>查编制有《设计与开发控制程序》，文件对设计开发的全过程进行了规范化管理，以确保所设计开发的产品能满足顾客需求或期望和有关法律法规要求。</w:t>
            </w:r>
            <w:r>
              <w:rPr>
                <w:rFonts w:hint="eastAsia" w:ascii="宋体" w:hAnsi="宋体" w:cs="宋体"/>
                <w:color w:val="000000"/>
                <w:szCs w:val="21"/>
              </w:rPr>
              <w:t>该项目由研发工程师组织，配备充足的研发资金和软硬件测试设备设施，推动研发活动顺利进行。</w:t>
            </w:r>
            <w:r>
              <w:rPr>
                <w:rFonts w:hint="eastAsia" w:ascii="宋体" w:hAnsi="宋体" w:cs="宋体"/>
                <w:szCs w:val="21"/>
              </w:rPr>
              <w:t>以上已发资料记录了设计开发的策划、输入、输出、评审、验证和确认活动。</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抽查仪器仪表数据检测系统的《设计开发计划书》，记录了仪器仪表数据检测系统以原检测、校准工作为基础而研发，主要是针对大数据量的采集和计算所耗费时间的节能以及降低人员计算错误率。</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仪器研发后台管理系统的《设计开发计划书》，记录了仪器研发后台管理系统以各公司设备提前一个月对设备使用人进行催校工作，确保仪器使用人对所使用仪器状态进行有效跟踪服务，降低仪器丢失、使用不合格仪器进行数据测量等产生的质量事故。</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仪器研发综合数据采集系统的《设计开发计划书》，记录了仪器研发综合数据采集系统以公司设备数据采集存储作为研究点，代替纸档手动数据记录、存储，可以根据设备的唯一性进行独立存储，供使用人随时提取各设备六年内任意时间点的数据。</w:t>
            </w:r>
          </w:p>
          <w:p>
            <w:pPr>
              <w:adjustRightInd w:val="0"/>
              <w:snapToGrid w:val="0"/>
              <w:spacing w:line="324"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抽查仪器仪表线上技术资讯管理系统的《设计开发计划书》，记录了仪器仪表线上技术资讯管理系统以不影响设备、仪器工作运行为前提，对设备进行性能测试，节省了因停机校准仪器、设备的时间。</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抽查计量器具故障排查系统的《设计开发计划书》，记录了计量器</w:t>
            </w:r>
            <w:r>
              <w:rPr>
                <w:rFonts w:hint="eastAsia" w:ascii="宋体" w:hAnsi="宋体" w:cs="宋体"/>
                <w:color w:val="000000"/>
                <w:szCs w:val="21"/>
              </w:rPr>
              <w:t>具故障排查系统可以高效率</w:t>
            </w:r>
            <w:r>
              <w:rPr>
                <w:rFonts w:hint="eastAsia" w:ascii="宋体" w:hAnsi="宋体" w:cs="宋体"/>
                <w:color w:val="000000" w:themeColor="text1"/>
                <w:szCs w:val="21"/>
              </w:rPr>
              <w:t>的排除故障发生的问题，以最大效率排除设备故障问题。</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抽查环保节能设备技术服务系统的《设计开发计划书》，记录了环保节能设备技术服务系统可以对能源有效利用，降低生产成本，减少环境污染。</w:t>
            </w:r>
          </w:p>
          <w:p>
            <w:pPr>
              <w:spacing w:line="360" w:lineRule="auto"/>
              <w:ind w:firstLine="420" w:firstLineChars="200"/>
              <w:rPr>
                <w:rFonts w:ascii="宋体" w:hAnsi="宋体" w:cs="宋体"/>
                <w:szCs w:val="21"/>
              </w:rPr>
            </w:pPr>
            <w:r>
              <w:rPr>
                <w:rFonts w:hint="eastAsia" w:ascii="宋体" w:hAnsi="宋体" w:cs="宋体"/>
                <w:color w:val="000000" w:themeColor="text1"/>
                <w:szCs w:val="21"/>
              </w:rPr>
              <w:t>基本符合设计开发过程策划的控制要求。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szCs w:val="21"/>
              </w:rPr>
            </w:pPr>
          </w:p>
          <w:p>
            <w:pPr>
              <w:spacing w:line="360" w:lineRule="auto"/>
              <w:rPr>
                <w:rFonts w:ascii="宋体" w:hAnsi="宋体" w:cs="宋体"/>
                <w:bCs/>
                <w:szCs w:val="21"/>
              </w:rPr>
            </w:pPr>
            <w:r>
              <w:rPr>
                <w:rFonts w:hint="eastAsia" w:ascii="宋体" w:hAnsi="宋体" w:cs="宋体"/>
                <w:szCs w:val="21"/>
              </w:rPr>
              <w:t>设计和开发的输入</w:t>
            </w:r>
          </w:p>
        </w:tc>
        <w:tc>
          <w:tcPr>
            <w:tcW w:w="1311" w:type="dxa"/>
          </w:tcPr>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p>
          <w:p>
            <w:pPr>
              <w:spacing w:line="360" w:lineRule="auto"/>
              <w:jc w:val="left"/>
              <w:rPr>
                <w:rFonts w:ascii="宋体" w:hAnsi="宋体" w:cs="宋体"/>
                <w:szCs w:val="21"/>
              </w:rPr>
            </w:pPr>
            <w:r>
              <w:rPr>
                <w:rFonts w:hint="eastAsia" w:ascii="宋体" w:hAnsi="宋体" w:cs="宋体"/>
                <w:szCs w:val="21"/>
              </w:rPr>
              <w:t>Q8.3.3</w:t>
            </w:r>
          </w:p>
          <w:p>
            <w:pPr>
              <w:spacing w:line="360" w:lineRule="auto"/>
              <w:ind w:firstLine="420" w:firstLineChars="200"/>
              <w:jc w:val="left"/>
              <w:rPr>
                <w:rFonts w:ascii="宋体" w:hAnsi="宋体" w:cs="宋体"/>
                <w:szCs w:val="21"/>
              </w:rPr>
            </w:pPr>
          </w:p>
        </w:tc>
        <w:tc>
          <w:tcPr>
            <w:tcW w:w="10237" w:type="dxa"/>
          </w:tcPr>
          <w:p>
            <w:pPr>
              <w:spacing w:line="360" w:lineRule="auto"/>
              <w:ind w:firstLine="420" w:firstLineChars="200"/>
              <w:rPr>
                <w:rFonts w:ascii="宋体" w:hAnsi="宋体" w:cs="宋体"/>
                <w:szCs w:val="21"/>
              </w:rPr>
            </w:pPr>
            <w:r>
              <w:rPr>
                <w:rFonts w:hint="eastAsia" w:ascii="宋体" w:hAnsi="宋体" w:cs="宋体"/>
                <w:szCs w:val="21"/>
              </w:rPr>
              <w:t>查设计和开发的输入：项目名称和设计内容。</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hint="eastAsia" w:ascii="宋体" w:hAnsi="宋体" w:cs="宋体"/>
                <w:color w:val="000000"/>
                <w:szCs w:val="21"/>
              </w:rPr>
              <w:t>仪器仪表数据检测系统</w:t>
            </w:r>
          </w:p>
          <w:p>
            <w:pPr>
              <w:spacing w:line="360" w:lineRule="auto"/>
              <w:ind w:firstLine="420" w:firstLineChars="200"/>
              <w:rPr>
                <w:rFonts w:ascii="宋体" w:hAnsi="宋体" w:cs="宋体"/>
                <w:color w:val="000000"/>
                <w:szCs w:val="21"/>
              </w:rPr>
            </w:pPr>
            <w:r>
              <w:rPr>
                <w:rFonts w:hint="eastAsia" w:ascii="宋体" w:hAnsi="宋体" w:cs="宋体"/>
                <w:szCs w:val="21"/>
              </w:rPr>
              <w:t>设计内容：</w:t>
            </w:r>
            <w:r>
              <w:rPr>
                <w:rFonts w:hint="eastAsia" w:ascii="宋体" w:hAnsi="宋体" w:cs="宋体"/>
                <w:color w:val="000000"/>
                <w:szCs w:val="21"/>
              </w:rPr>
              <w:t>可以根据检测、校准数据进行实时采集、计算，以及根据相应规程规范的要求进行结果判定，有效的提高了人员工作效率及准确率。</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hint="eastAsia" w:ascii="宋体" w:hAnsi="宋体" w:cs="宋体"/>
                <w:color w:val="000000"/>
                <w:szCs w:val="21"/>
              </w:rPr>
              <w:t>仪器研发后台管理系统</w:t>
            </w:r>
          </w:p>
          <w:p>
            <w:pPr>
              <w:spacing w:line="360" w:lineRule="auto"/>
              <w:ind w:firstLine="420" w:firstLineChars="200"/>
              <w:rPr>
                <w:rFonts w:ascii="宋体" w:hAnsi="宋体" w:cs="宋体"/>
                <w:color w:val="000000"/>
                <w:szCs w:val="21"/>
              </w:rPr>
            </w:pPr>
            <w:r>
              <w:rPr>
                <w:rFonts w:hint="eastAsia" w:ascii="宋体" w:hAnsi="宋体" w:cs="宋体"/>
                <w:szCs w:val="21"/>
              </w:rPr>
              <w:t>设计内容：</w:t>
            </w:r>
            <w:r>
              <w:rPr>
                <w:rFonts w:hint="eastAsia" w:ascii="宋体" w:hAnsi="宋体" w:cs="宋体"/>
                <w:color w:val="000000"/>
                <w:szCs w:val="21"/>
              </w:rPr>
              <w:t>可以根据各个设备种类的有效使用周期、校准日期进行专人跟踪，提高了每一台设备的状态、责任人，降低了设备丢失、损坏率。</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hint="eastAsia" w:ascii="宋体" w:hAnsi="宋体" w:cs="宋体"/>
                <w:color w:val="000000"/>
                <w:szCs w:val="21"/>
              </w:rPr>
              <w:t>仪器研发综合数据采集系统</w:t>
            </w:r>
          </w:p>
          <w:p>
            <w:pPr>
              <w:spacing w:line="360" w:lineRule="auto"/>
              <w:ind w:firstLine="420" w:firstLineChars="200"/>
              <w:rPr>
                <w:rFonts w:ascii="宋体" w:hAnsi="宋体" w:cs="宋体"/>
                <w:color w:val="000000"/>
                <w:szCs w:val="21"/>
              </w:rPr>
            </w:pPr>
            <w:r>
              <w:rPr>
                <w:rFonts w:hint="eastAsia" w:ascii="宋体" w:hAnsi="宋体" w:cs="宋体"/>
                <w:szCs w:val="21"/>
              </w:rPr>
              <w:t>设计内容：</w:t>
            </w:r>
            <w:r>
              <w:rPr>
                <w:rFonts w:hint="eastAsia" w:ascii="宋体" w:hAnsi="宋体" w:cs="宋体"/>
                <w:color w:val="000000"/>
                <w:szCs w:val="21"/>
              </w:rPr>
              <w:t>对设备测量带来的影响有时效性的追溯。</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hint="eastAsia" w:ascii="宋体" w:hAnsi="宋体" w:cs="宋体"/>
                <w:color w:val="000000"/>
                <w:szCs w:val="21"/>
              </w:rPr>
              <w:t>仪器仪表线上技术资讯管理系统</w:t>
            </w:r>
          </w:p>
          <w:p>
            <w:pPr>
              <w:spacing w:line="360" w:lineRule="auto"/>
              <w:ind w:firstLine="420" w:firstLineChars="200"/>
              <w:rPr>
                <w:rFonts w:ascii="宋体" w:hAnsi="宋体" w:cs="宋体"/>
                <w:color w:val="000000"/>
                <w:szCs w:val="21"/>
              </w:rPr>
            </w:pPr>
            <w:r>
              <w:rPr>
                <w:rFonts w:hint="eastAsia" w:ascii="宋体" w:hAnsi="宋体" w:cs="宋体"/>
                <w:szCs w:val="21"/>
              </w:rPr>
              <w:t>设计内容：</w:t>
            </w:r>
            <w:r>
              <w:rPr>
                <w:rFonts w:hint="eastAsia" w:ascii="宋体" w:hAnsi="宋体" w:cs="宋体"/>
                <w:color w:val="000000"/>
                <w:szCs w:val="21"/>
              </w:rPr>
              <w:t>降低生产成本，提高产能与质量。</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hint="eastAsia" w:ascii="宋体" w:hAnsi="宋体" w:cs="宋体"/>
                <w:color w:val="000000"/>
                <w:szCs w:val="21"/>
              </w:rPr>
              <w:t>计量器具故障排查系统</w:t>
            </w:r>
          </w:p>
          <w:p>
            <w:pPr>
              <w:spacing w:line="360" w:lineRule="auto"/>
              <w:ind w:firstLine="420" w:firstLineChars="200"/>
              <w:rPr>
                <w:rFonts w:ascii="宋体" w:hAnsi="宋体" w:cs="宋体"/>
                <w:color w:val="000000"/>
                <w:szCs w:val="21"/>
              </w:rPr>
            </w:pPr>
            <w:r>
              <w:rPr>
                <w:rFonts w:hint="eastAsia" w:ascii="宋体" w:hAnsi="宋体" w:cs="宋体"/>
                <w:szCs w:val="21"/>
              </w:rPr>
              <w:t>设计内容：</w:t>
            </w:r>
            <w:r>
              <w:rPr>
                <w:rFonts w:hint="eastAsia" w:ascii="宋体" w:hAnsi="宋体" w:cs="宋体"/>
                <w:color w:val="000000"/>
                <w:szCs w:val="21"/>
              </w:rPr>
              <w:t>降低生产成本，提高产能与质量。</w:t>
            </w:r>
          </w:p>
          <w:p>
            <w:pPr>
              <w:spacing w:line="360" w:lineRule="auto"/>
              <w:ind w:firstLine="420" w:firstLineChars="200"/>
              <w:rPr>
                <w:rFonts w:ascii="宋体" w:hAnsi="宋体" w:cs="宋体"/>
                <w:szCs w:val="21"/>
              </w:rPr>
            </w:pPr>
            <w:r>
              <w:rPr>
                <w:rFonts w:hint="eastAsia" w:ascii="宋体" w:hAnsi="宋体" w:cs="宋体"/>
                <w:szCs w:val="21"/>
              </w:rPr>
              <w:t>项目名称：</w:t>
            </w:r>
            <w:r>
              <w:rPr>
                <w:rFonts w:hint="eastAsia" w:ascii="宋体" w:hAnsi="宋体" w:cs="宋体"/>
                <w:color w:val="000000"/>
                <w:szCs w:val="21"/>
              </w:rPr>
              <w:t>环保节能设备技术服务系统</w:t>
            </w:r>
          </w:p>
          <w:p>
            <w:pPr>
              <w:spacing w:line="360" w:lineRule="auto"/>
              <w:ind w:firstLine="420" w:firstLineChars="200"/>
              <w:rPr>
                <w:rFonts w:ascii="宋体" w:hAnsi="宋体" w:cs="宋体"/>
                <w:szCs w:val="21"/>
              </w:rPr>
            </w:pPr>
            <w:r>
              <w:rPr>
                <w:rFonts w:hint="eastAsia" w:ascii="宋体" w:hAnsi="宋体" w:cs="宋体"/>
                <w:szCs w:val="21"/>
              </w:rPr>
              <w:t>设计内容：</w:t>
            </w:r>
            <w:r>
              <w:rPr>
                <w:rFonts w:hint="eastAsia" w:ascii="宋体" w:hAnsi="宋体" w:cs="宋体"/>
                <w:color w:val="000000"/>
                <w:szCs w:val="21"/>
              </w:rPr>
              <w:t>降低生产成本，提高产能，保护环境。</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r>
              <w:rPr>
                <w:rFonts w:hint="eastAsia" w:ascii="楷体" w:hAnsi="楷体" w:eastAsia="楷体" w:cs="宋体"/>
                <w:bCs/>
                <w:sz w:val="24"/>
                <w:szCs w:val="24"/>
              </w:rPr>
              <w:t>设计和开发控制</w:t>
            </w:r>
          </w:p>
          <w:p>
            <w:pPr>
              <w:spacing w:line="360" w:lineRule="auto"/>
              <w:ind w:firstLine="240" w:firstLineChars="100"/>
              <w:rPr>
                <w:rFonts w:ascii="楷体" w:hAnsi="楷体" w:eastAsia="楷体" w:cs="Arial"/>
                <w:bCs/>
                <w:sz w:val="24"/>
                <w:szCs w:val="24"/>
              </w:rPr>
            </w:pPr>
          </w:p>
        </w:tc>
        <w:tc>
          <w:tcPr>
            <w:tcW w:w="1311" w:type="dxa"/>
          </w:tcPr>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p>
          <w:p>
            <w:pPr>
              <w:spacing w:line="360" w:lineRule="auto"/>
              <w:rPr>
                <w:rFonts w:ascii="楷体" w:hAnsi="楷体" w:eastAsia="楷体" w:cs="宋体"/>
                <w:bCs/>
                <w:sz w:val="24"/>
                <w:szCs w:val="24"/>
              </w:rPr>
            </w:pPr>
            <w:r>
              <w:rPr>
                <w:rFonts w:hint="eastAsia" w:ascii="楷体" w:hAnsi="楷体" w:eastAsia="楷体" w:cs="宋体"/>
                <w:bCs/>
                <w:sz w:val="24"/>
                <w:szCs w:val="24"/>
              </w:rPr>
              <w:t>Q8.3.4</w:t>
            </w:r>
          </w:p>
          <w:p>
            <w:pPr>
              <w:spacing w:line="360" w:lineRule="auto"/>
              <w:rPr>
                <w:rFonts w:ascii="楷体" w:hAnsi="楷体" w:eastAsia="楷体" w:cs="Arial"/>
                <w:sz w:val="24"/>
                <w:szCs w:val="24"/>
              </w:rPr>
            </w:pPr>
          </w:p>
        </w:tc>
        <w:tc>
          <w:tcPr>
            <w:tcW w:w="10237" w:type="dxa"/>
          </w:tcPr>
          <w:p>
            <w:pPr>
              <w:spacing w:line="360" w:lineRule="auto"/>
              <w:rPr>
                <w:rFonts w:ascii="宋体" w:hAnsi="宋体" w:cs="宋体"/>
                <w:color w:val="000000" w:themeColor="text1"/>
                <w:szCs w:val="21"/>
              </w:rPr>
            </w:pPr>
            <w:r>
              <w:rPr>
                <w:rFonts w:hint="eastAsia" w:ascii="宋体" w:hAnsi="宋体" w:cs="宋体"/>
                <w:color w:val="000000" w:themeColor="text1"/>
                <w:szCs w:val="21"/>
              </w:rPr>
              <w:t xml:space="preserve">一、设计开发的评审：  </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查设计开发输入阶段进行了评审，见8.3.3审核记录。</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查设计开发输出阶段进行了评审，见8.3.5审核记录。</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评审结论：本次开发的新产品系统编程在性能和技术等方面基本上达到了顾客的要求，各项技术指标均达到要求。</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评审人员：李楠、刘海平、席伟。批准人，周东福2019.3.16日。</w:t>
            </w:r>
          </w:p>
          <w:p>
            <w:pPr>
              <w:spacing w:line="360" w:lineRule="auto"/>
              <w:rPr>
                <w:rFonts w:hint="eastAsia" w:ascii="宋体" w:hAnsi="宋体" w:cs="宋体"/>
                <w:color w:val="000000" w:themeColor="text1"/>
                <w:szCs w:val="21"/>
              </w:rPr>
            </w:pPr>
            <w:r>
              <w:rPr>
                <w:rFonts w:hint="eastAsia" w:ascii="宋体" w:hAnsi="宋体" w:cs="宋体"/>
                <w:color w:val="000000" w:themeColor="text1"/>
                <w:szCs w:val="21"/>
              </w:rPr>
              <w:t>二、设计开发验证：</w:t>
            </w:r>
          </w:p>
          <w:p>
            <w:pPr>
              <w:pStyle w:val="2"/>
              <w:ind w:firstLine="420" w:firstLineChars="200"/>
              <w:rPr>
                <w:rFonts w:ascii="宋体" w:hAnsi="宋体" w:cs="宋体"/>
                <w:b w:val="0"/>
                <w:bCs w:val="0"/>
                <w:color w:val="000000" w:themeColor="text1"/>
                <w:sz w:val="21"/>
                <w:szCs w:val="21"/>
              </w:rPr>
            </w:pPr>
            <w:r>
              <w:rPr>
                <w:rFonts w:hint="eastAsia" w:ascii="宋体" w:hAnsi="宋体" w:cs="宋体"/>
                <w:b w:val="0"/>
                <w:bCs w:val="0"/>
                <w:color w:val="000000" w:themeColor="text1"/>
                <w:sz w:val="21"/>
                <w:szCs w:val="21"/>
              </w:rPr>
              <w:t>提供了以上设计开发的验证资料，通过调试运行及比对达到了设计开发输入要求，满足预期效果。</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通过仪器仪表数据检测系统进行数据及时采集，计算，结果判定，让校准工作更准确、高效的进行处理；</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通过仪器研发后台管理系统对公司仪器设备进行统一管控，及时将所有仪器设备按照到期、维修、损坏进行相应跟进；</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通过仪器研发综合数据采集系统对公司仪器、设备采集的电子数据进行统一管控，可以随时将数据根据设备编号进行调取，并追溯到六年及以上时间；</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通过仪器仪表线上技术资讯管理系统降低了公司因生产任务所带来的设备、仪器不能及时校准等问题；</w:t>
            </w:r>
          </w:p>
          <w:p>
            <w:pPr>
              <w:spacing w:line="360" w:lineRule="auto"/>
              <w:ind w:firstLine="420" w:firstLineChars="200"/>
              <w:rPr>
                <w:rFonts w:ascii="宋体" w:hAnsi="宋体" w:cs="宋体"/>
                <w:color w:val="000000"/>
                <w:szCs w:val="21"/>
              </w:rPr>
            </w:pPr>
            <w:r>
              <w:rPr>
                <w:rFonts w:hint="eastAsia" w:ascii="宋体" w:hAnsi="宋体" w:cs="宋体"/>
                <w:color w:val="000000"/>
                <w:szCs w:val="21"/>
              </w:rPr>
              <w:t>通过计量器具故障排查系统提高仪器设备故障排查速度，降低生产成本控制为前提；</w:t>
            </w:r>
          </w:p>
          <w:p>
            <w:pPr>
              <w:spacing w:line="360" w:lineRule="auto"/>
              <w:ind w:firstLine="420" w:firstLineChars="200"/>
              <w:rPr>
                <w:rFonts w:ascii="宋体" w:hAnsi="宋体" w:cs="宋体"/>
                <w:szCs w:val="21"/>
              </w:rPr>
            </w:pPr>
            <w:r>
              <w:rPr>
                <w:rFonts w:hint="eastAsia" w:ascii="宋体" w:hAnsi="宋体" w:cs="宋体"/>
                <w:color w:val="000000"/>
                <w:szCs w:val="21"/>
              </w:rPr>
              <w:t>通过环保节能设备技术服务系统可以降低公司生产成本，降低对环境的污染；</w:t>
            </w:r>
          </w:p>
          <w:p>
            <w:pPr>
              <w:spacing w:line="360" w:lineRule="auto"/>
              <w:rPr>
                <w:rFonts w:hint="eastAsia" w:ascii="宋体" w:hAnsi="宋体" w:cs="宋体"/>
                <w:color w:val="000000"/>
                <w:szCs w:val="21"/>
              </w:rPr>
            </w:pPr>
            <w:r>
              <w:rPr>
                <w:rFonts w:hint="eastAsia" w:ascii="宋体" w:hAnsi="宋体" w:cs="宋体"/>
                <w:color w:val="000000"/>
                <w:szCs w:val="21"/>
              </w:rPr>
              <w:t>三、设计开发确认</w:t>
            </w:r>
          </w:p>
          <w:p>
            <w:pPr>
              <w:spacing w:line="360" w:lineRule="auto"/>
              <w:ind w:firstLine="420" w:firstLineChars="200"/>
              <w:rPr>
                <w:rFonts w:ascii="楷体" w:hAnsi="楷体" w:eastAsia="楷体" w:cs="宋体"/>
                <w:sz w:val="24"/>
                <w:szCs w:val="24"/>
              </w:rPr>
            </w:pPr>
            <w:r>
              <w:rPr>
                <w:rFonts w:hint="eastAsia" w:ascii="宋体" w:hAnsi="宋体" w:cs="宋体"/>
                <w:color w:val="000000"/>
                <w:szCs w:val="21"/>
              </w:rPr>
              <w:t>查产品设计和开发确认，设计开发验证的同时进行了设计开发的确认，经确认以上设计均达到了预期使用效果的要求。完成了仪器仪表数据检测系统设计；该系统提高了检测、校准人员的工作效率，之前校准一台温度校准箱从校准到出具报告需四个小时及以上，使用仪器仪表数据检测系统后，当即可出具报告给核验人员进行数据核验工作，提高了工作效率及准确率。</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tcPr>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r>
              <w:rPr>
                <w:rFonts w:hint="eastAsia" w:ascii="宋体" w:hAnsi="宋体" w:cs="宋体"/>
                <w:bCs/>
                <w:szCs w:val="21"/>
              </w:rPr>
              <w:t>设计和开发</w:t>
            </w:r>
            <w:r>
              <w:rPr>
                <w:rFonts w:hint="eastAsia" w:ascii="宋体" w:hAnsi="宋体" w:cs="宋体"/>
                <w:szCs w:val="21"/>
              </w:rPr>
              <w:t>输出</w:t>
            </w:r>
          </w:p>
        </w:tc>
        <w:tc>
          <w:tcPr>
            <w:tcW w:w="1311" w:type="dxa"/>
          </w:tcPr>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szCs w:val="21"/>
              </w:rPr>
            </w:pPr>
            <w:r>
              <w:rPr>
                <w:rFonts w:hint="eastAsia" w:ascii="宋体" w:hAnsi="宋体" w:cs="宋体"/>
                <w:bCs/>
                <w:szCs w:val="21"/>
              </w:rPr>
              <w:t>Q8.3.5</w:t>
            </w:r>
          </w:p>
        </w:tc>
        <w:tc>
          <w:tcPr>
            <w:tcW w:w="10237" w:type="dxa"/>
          </w:tcPr>
          <w:p>
            <w:pPr>
              <w:spacing w:line="360" w:lineRule="auto"/>
              <w:ind w:firstLine="420" w:firstLineChars="200"/>
              <w:rPr>
                <w:rFonts w:ascii="宋体" w:hAnsi="宋体" w:cs="宋体"/>
                <w:szCs w:val="21"/>
              </w:rPr>
            </w:pPr>
            <w:r>
              <w:rPr>
                <w:rFonts w:hint="eastAsia" w:ascii="宋体" w:hAnsi="宋体" w:cs="宋体"/>
                <w:szCs w:val="21"/>
              </w:rPr>
              <w:t>查设计和开发的输出：设计开发输出主要是软件系统成果，已申请了</w:t>
            </w:r>
            <w:r>
              <w:rPr>
                <w:rFonts w:hint="eastAsia" w:ascii="宋体" w:hAnsi="宋体" w:cs="宋体"/>
                <w:color w:val="000000" w:themeColor="text1"/>
                <w:szCs w:val="21"/>
              </w:rPr>
              <w:t>软件著作权。</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申请了仪器仪表数据检测系统软件著作权，证书号：软著登字第3862755号；</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申请了仪器研发后台管理系统软件著作权，证书号：软著登字第3862938；</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申请了仪器研发综合数据采集系统软件著作权，证书号：软著登字第3862757号；</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申请了仪器仪表线上技术资讯管理系统软件著作权，证书号：软著登字第3862753号；</w:t>
            </w:r>
          </w:p>
          <w:p>
            <w:pPr>
              <w:spacing w:line="360" w:lineRule="auto"/>
              <w:ind w:firstLine="420" w:firstLineChars="200"/>
              <w:rPr>
                <w:rFonts w:ascii="宋体" w:hAnsi="宋体" w:cs="宋体"/>
                <w:color w:val="000000" w:themeColor="text1"/>
                <w:szCs w:val="21"/>
              </w:rPr>
            </w:pPr>
            <w:r>
              <w:rPr>
                <w:rFonts w:hint="eastAsia" w:ascii="宋体" w:hAnsi="宋体" w:cs="宋体"/>
                <w:color w:val="000000" w:themeColor="text1"/>
                <w:szCs w:val="21"/>
              </w:rPr>
              <w:t>申请了计量器具故障排查系统软件著作权，证书号：软著登字第3862777号；</w:t>
            </w:r>
          </w:p>
          <w:p>
            <w:pPr>
              <w:spacing w:line="360" w:lineRule="auto"/>
              <w:ind w:firstLine="420" w:firstLineChars="200"/>
              <w:rPr>
                <w:rFonts w:ascii="宋体" w:hAnsi="宋体" w:cs="宋体"/>
                <w:szCs w:val="21"/>
              </w:rPr>
            </w:pPr>
            <w:r>
              <w:rPr>
                <w:rFonts w:hint="eastAsia" w:ascii="宋体" w:hAnsi="宋体" w:cs="宋体"/>
                <w:color w:val="000000" w:themeColor="text1"/>
                <w:szCs w:val="21"/>
              </w:rPr>
              <w:t>申请了环保节能设备技术服务系统软件著作权，证书号：软著登字第3862807号；</w:t>
            </w:r>
            <w:r>
              <w:rPr>
                <w:rFonts w:hint="eastAsia" w:ascii="宋体" w:hAnsi="宋体" w:cs="宋体"/>
                <w:szCs w:val="21"/>
              </w:rPr>
              <w:t>设计和开发的输出管理符合规定的要求。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ascii="宋体" w:hAnsi="宋体" w:cs="宋体"/>
                <w:b/>
                <w:szCs w:val="21"/>
              </w:rPr>
            </w:pPr>
            <w:r>
              <w:rPr>
                <w:rFonts w:hint="eastAsia" w:ascii="宋体" w:hAnsi="宋体" w:cs="宋体"/>
                <w:spacing w:val="-10"/>
                <w:szCs w:val="21"/>
              </w:rPr>
              <w:t>产品和服务的设计和开发</w:t>
            </w:r>
          </w:p>
        </w:tc>
        <w:tc>
          <w:tcPr>
            <w:tcW w:w="1311" w:type="dxa"/>
          </w:tcPr>
          <w:p>
            <w:pPr>
              <w:rPr>
                <w:rFonts w:ascii="宋体" w:hAnsi="宋体" w:cs="宋体"/>
                <w:bCs/>
                <w:szCs w:val="21"/>
              </w:rPr>
            </w:pPr>
            <w:r>
              <w:rPr>
                <w:rFonts w:hint="eastAsia" w:ascii="宋体" w:hAnsi="宋体" w:cs="宋体"/>
                <w:bCs/>
                <w:szCs w:val="21"/>
              </w:rPr>
              <w:t>Q8.3.6</w:t>
            </w:r>
          </w:p>
          <w:p>
            <w:pPr>
              <w:rPr>
                <w:rFonts w:ascii="宋体" w:hAnsi="宋体" w:cs="宋体"/>
                <w:szCs w:val="21"/>
              </w:rPr>
            </w:pPr>
          </w:p>
        </w:tc>
        <w:tc>
          <w:tcPr>
            <w:tcW w:w="10237" w:type="dxa"/>
          </w:tcPr>
          <w:p>
            <w:pPr>
              <w:spacing w:line="360" w:lineRule="auto"/>
              <w:ind w:firstLine="420" w:firstLineChars="200"/>
              <w:rPr>
                <w:rFonts w:ascii="宋体" w:hAnsi="宋体" w:cs="宋体"/>
                <w:szCs w:val="21"/>
              </w:rPr>
            </w:pPr>
            <w:r>
              <w:rPr>
                <w:rFonts w:hint="eastAsia" w:ascii="宋体" w:hAnsi="宋体" w:cs="宋体"/>
                <w:szCs w:val="21"/>
              </w:rPr>
              <w:t>设计开发更改应进行评审、验证、确认、批准，经查组织按顾客技术要求研发，暂未发生设计更改情况。</w:t>
            </w:r>
          </w:p>
          <w:p>
            <w:pPr>
              <w:spacing w:line="360" w:lineRule="auto"/>
              <w:ind w:firstLine="420" w:firstLineChars="200"/>
              <w:rPr>
                <w:rFonts w:ascii="宋体" w:hAnsi="宋体" w:cs="宋体"/>
                <w:szCs w:val="21"/>
              </w:rPr>
            </w:pPr>
            <w:r>
              <w:rPr>
                <w:rFonts w:hint="eastAsia" w:ascii="宋体" w:hAnsi="宋体" w:cs="宋体"/>
                <w:szCs w:val="21"/>
              </w:rPr>
              <w:t>组织的设计开发控制基本符合规定的要求。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1" w:hRule="atLeast"/>
        </w:trPr>
        <w:tc>
          <w:tcPr>
            <w:tcW w:w="1809" w:type="dxa"/>
          </w:tcPr>
          <w:p>
            <w:pPr>
              <w:spacing w:line="360" w:lineRule="auto"/>
              <w:rPr>
                <w:rFonts w:asciiTheme="minorEastAsia" w:hAnsiTheme="minorEastAsia" w:eastAsiaTheme="minorEastAsia"/>
                <w:b/>
                <w:sz w:val="24"/>
                <w:szCs w:val="24"/>
              </w:rPr>
            </w:pPr>
            <w:r>
              <w:rPr>
                <w:rFonts w:hint="eastAsia" w:asciiTheme="minorEastAsia" w:hAnsiTheme="minorEastAsia" w:eastAsiaTheme="minorEastAsia"/>
                <w:bCs/>
                <w:sz w:val="24"/>
                <w:szCs w:val="24"/>
              </w:rPr>
              <w:t>变更控制</w:t>
            </w:r>
          </w:p>
        </w:tc>
        <w:tc>
          <w:tcPr>
            <w:tcW w:w="1311" w:type="dxa"/>
          </w:tcPr>
          <w:p>
            <w:pPr>
              <w:spacing w:line="360" w:lineRule="auto"/>
              <w:rPr>
                <w:rFonts w:cs="宋体" w:asciiTheme="minorEastAsia" w:hAnsiTheme="minorEastAsia" w:eastAsiaTheme="minorEastAsia"/>
                <w:bCs/>
                <w:sz w:val="24"/>
                <w:szCs w:val="24"/>
              </w:rPr>
            </w:pPr>
            <w:r>
              <w:rPr>
                <w:rFonts w:hint="eastAsia" w:cs="宋体" w:asciiTheme="minorEastAsia" w:hAnsiTheme="minorEastAsia" w:eastAsiaTheme="minorEastAsia"/>
                <w:bCs/>
                <w:sz w:val="24"/>
                <w:szCs w:val="24"/>
              </w:rPr>
              <w:t>Q8.5.6</w:t>
            </w:r>
          </w:p>
          <w:p>
            <w:pPr>
              <w:spacing w:line="360" w:lineRule="auto"/>
              <w:rPr>
                <w:rFonts w:asciiTheme="minorEastAsia" w:hAnsiTheme="minorEastAsia" w:eastAsiaTheme="minorEastAsia"/>
                <w:b/>
                <w:sz w:val="24"/>
                <w:szCs w:val="24"/>
              </w:rPr>
            </w:pPr>
          </w:p>
        </w:tc>
        <w:tc>
          <w:tcPr>
            <w:tcW w:w="10237" w:type="dxa"/>
          </w:tcPr>
          <w:p>
            <w:pPr>
              <w:spacing w:line="360" w:lineRule="auto"/>
              <w:ind w:firstLine="421"/>
              <w:rPr>
                <w:rFonts w:cs="宋体" w:asciiTheme="minorEastAsia" w:hAnsiTheme="minorEastAsia" w:eastAsiaTheme="minorEastAsia"/>
                <w:szCs w:val="21"/>
              </w:rPr>
            </w:pPr>
            <w:r>
              <w:rPr>
                <w:rFonts w:hint="eastAsia" w:cs="宋体" w:asciiTheme="minorEastAsia" w:hAnsiTheme="minorEastAsia" w:eastAsiaTheme="minorEastAsia"/>
                <w:szCs w:val="21"/>
              </w:rPr>
              <w:t>对于计量器具检测、维修、设计过程的更改，公司规定通过《更改通知单》的形式重新下达。计量器具检测过程的更改指令，若涉及到交付时间更改，均有对应的合同更改评审记录，本部门再次通过《更改通知单》下达。更改的 指令由本部门技术负责人签发。</w:t>
            </w:r>
          </w:p>
          <w:p>
            <w:pPr>
              <w:spacing w:line="360" w:lineRule="auto"/>
              <w:ind w:firstLine="421"/>
              <w:rPr>
                <w:rFonts w:cs="宋体" w:asciiTheme="minorEastAsia" w:hAnsiTheme="minorEastAsia" w:eastAsiaTheme="minorEastAsia"/>
                <w:sz w:val="24"/>
                <w:szCs w:val="24"/>
              </w:rPr>
            </w:pPr>
            <w:r>
              <w:rPr>
                <w:rFonts w:hint="eastAsia" w:cs="宋体" w:asciiTheme="minorEastAsia" w:hAnsiTheme="minorEastAsia" w:eastAsiaTheme="minorEastAsia"/>
                <w:szCs w:val="21"/>
              </w:rPr>
              <w:t>目前无过程的更改。</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1809" w:type="dxa"/>
            <w:vAlign w:val="center"/>
          </w:tcPr>
          <w:p>
            <w:pPr>
              <w:spacing w:line="360" w:lineRule="auto"/>
              <w:rPr>
                <w:rFonts w:ascii="宋体" w:hAnsi="宋体" w:cs="宋体"/>
                <w:color w:val="000000" w:themeColor="text1"/>
                <w:szCs w:val="21"/>
              </w:rPr>
            </w:pPr>
            <w:r>
              <w:rPr>
                <w:rFonts w:hint="eastAsia" w:ascii="宋体" w:hAnsi="宋体" w:cs="宋体"/>
                <w:color w:val="000000" w:themeColor="text1"/>
                <w:szCs w:val="21"/>
              </w:rPr>
              <w:t>生产和服务提供的控制</w:t>
            </w:r>
          </w:p>
          <w:p>
            <w:pPr>
              <w:spacing w:line="360" w:lineRule="auto"/>
              <w:ind w:firstLine="420" w:firstLineChars="200"/>
              <w:rPr>
                <w:rFonts w:ascii="宋体" w:hAnsi="宋体" w:cs="宋体"/>
                <w:color w:val="000000" w:themeColor="text1"/>
                <w:szCs w:val="21"/>
              </w:rPr>
            </w:pPr>
          </w:p>
        </w:tc>
        <w:tc>
          <w:tcPr>
            <w:tcW w:w="1311" w:type="dxa"/>
          </w:tcPr>
          <w:p>
            <w:pPr>
              <w:spacing w:line="360" w:lineRule="auto"/>
              <w:rPr>
                <w:rFonts w:ascii="宋体" w:hAnsi="宋体" w:cs="宋体"/>
                <w:color w:val="000000" w:themeColor="text1"/>
                <w:szCs w:val="21"/>
              </w:rPr>
            </w:pPr>
          </w:p>
          <w:p>
            <w:pPr>
              <w:spacing w:line="360" w:lineRule="auto"/>
              <w:rPr>
                <w:rFonts w:ascii="宋体" w:hAnsi="宋体" w:cs="宋体"/>
                <w:color w:val="000000" w:themeColor="text1"/>
                <w:szCs w:val="21"/>
              </w:rPr>
            </w:pPr>
            <w:r>
              <w:rPr>
                <w:rFonts w:hint="eastAsia" w:ascii="宋体" w:hAnsi="宋体" w:cs="宋体"/>
                <w:color w:val="000000" w:themeColor="text1"/>
                <w:szCs w:val="21"/>
              </w:rPr>
              <w:t>Q8.5.1</w:t>
            </w:r>
          </w:p>
          <w:p>
            <w:pPr>
              <w:spacing w:line="360" w:lineRule="auto"/>
              <w:ind w:firstLine="420" w:firstLineChars="200"/>
              <w:rPr>
                <w:rFonts w:ascii="宋体" w:hAnsi="宋体" w:cs="宋体"/>
                <w:color w:val="000000" w:themeColor="text1"/>
                <w:szCs w:val="21"/>
              </w:rPr>
            </w:pPr>
          </w:p>
          <w:p>
            <w:pPr>
              <w:spacing w:line="360" w:lineRule="auto"/>
              <w:ind w:firstLine="420" w:firstLineChars="200"/>
              <w:rPr>
                <w:rFonts w:ascii="宋体" w:hAnsi="宋体" w:cs="宋体"/>
                <w:color w:val="000000" w:themeColor="text1"/>
                <w:szCs w:val="21"/>
              </w:rPr>
            </w:pPr>
          </w:p>
          <w:p>
            <w:pPr>
              <w:spacing w:line="360" w:lineRule="auto"/>
              <w:ind w:firstLine="420" w:firstLineChars="200"/>
              <w:rPr>
                <w:rFonts w:ascii="宋体" w:hAnsi="宋体" w:cs="宋体"/>
                <w:color w:val="000000" w:themeColor="text1"/>
                <w:szCs w:val="21"/>
              </w:rPr>
            </w:pPr>
          </w:p>
          <w:p>
            <w:pPr>
              <w:spacing w:line="360" w:lineRule="auto"/>
              <w:ind w:firstLine="420" w:firstLineChars="200"/>
              <w:rPr>
                <w:rFonts w:ascii="宋体" w:hAnsi="宋体" w:cs="宋体"/>
                <w:color w:val="000000" w:themeColor="text1"/>
                <w:szCs w:val="21"/>
              </w:rPr>
            </w:pPr>
          </w:p>
          <w:p>
            <w:pPr>
              <w:spacing w:line="360" w:lineRule="auto"/>
              <w:ind w:firstLine="420" w:firstLineChars="200"/>
              <w:rPr>
                <w:rFonts w:ascii="宋体" w:hAnsi="宋体" w:cs="宋体"/>
                <w:color w:val="000000" w:themeColor="text1"/>
                <w:szCs w:val="21"/>
              </w:rPr>
            </w:pPr>
          </w:p>
        </w:tc>
        <w:tc>
          <w:tcPr>
            <w:tcW w:w="10237" w:type="dxa"/>
          </w:tcPr>
          <w:p>
            <w:pPr>
              <w:spacing w:line="360" w:lineRule="auto"/>
              <w:ind w:firstLine="420" w:firstLineChars="200"/>
              <w:rPr>
                <w:rFonts w:ascii="宋体" w:hAnsi="宋体" w:cs="宋体"/>
                <w:szCs w:val="21"/>
                <w:lang w:eastAsia="zh-TW"/>
              </w:rPr>
            </w:pPr>
            <w:r>
              <w:rPr>
                <w:rFonts w:hint="eastAsia" w:ascii="宋体" w:hAnsi="宋体" w:cs="宋体"/>
                <w:szCs w:val="21"/>
                <w:lang w:eastAsia="zh-TW"/>
              </w:rPr>
              <w:t>公司目前主要从事产业计量、环保节能技术软件的研发</w:t>
            </w:r>
          </w:p>
          <w:p>
            <w:pPr>
              <w:spacing w:line="360" w:lineRule="auto"/>
              <w:ind w:firstLine="420" w:firstLineChars="200"/>
              <w:rPr>
                <w:rFonts w:ascii="宋体" w:hAnsi="宋体" w:cs="宋体"/>
                <w:szCs w:val="21"/>
              </w:rPr>
            </w:pPr>
            <w:r>
              <w:rPr>
                <w:rFonts w:hint="eastAsia" w:ascii="宋体" w:hAnsi="宋体" w:cs="宋体"/>
                <w:szCs w:val="21"/>
              </w:rPr>
              <w:t>设计服务流程</w:t>
            </w:r>
          </w:p>
          <w:p>
            <w:pPr>
              <w:spacing w:line="360" w:lineRule="auto"/>
              <w:ind w:firstLine="420" w:firstLineChars="200"/>
              <w:rPr>
                <w:rFonts w:ascii="宋体" w:hAnsi="宋体" w:cs="宋体"/>
                <w:szCs w:val="21"/>
              </w:rPr>
            </w:pPr>
            <w:r>
              <w:rPr>
                <w:rFonts w:hint="eastAsia" w:ascii="宋体" w:hAnsi="宋体" w:cs="宋体"/>
                <w:szCs w:val="21"/>
              </w:rPr>
              <w:t>客户设计咨询---质量技术确认---质量技术部出具设计方案---客户确认方案---出具设计方案---用户</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公司编制有《设计开发控制程序》、《电脑管理制度》、《档案管理制度》，可以指导并规范员工的实际操作。</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产品设计开发过程中使用的电脑及系统软件工具等设备能满足要求。公司目前现有一支专业的产品设计开发人员，全部是本科及研究生以上学历，可满足设计开发服务要求。</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抽查到</w:t>
            </w:r>
            <w:r>
              <w:rPr>
                <w:rFonts w:hint="eastAsia" w:ascii="宋体" w:hAnsi="宋体" w:cs="宋体"/>
                <w:szCs w:val="21"/>
              </w:rPr>
              <w:t>仪器仪表数据检测系统、节能环保设备技术服务系统、计量器具故障排查系统</w:t>
            </w:r>
            <w:r>
              <w:rPr>
                <w:rFonts w:hint="eastAsia" w:ascii="宋体" w:hAnsi="宋体" w:cs="宋体"/>
                <w:szCs w:val="21"/>
                <w:lang w:eastAsia="zh-TW"/>
              </w:rPr>
              <w:t>整套设计开发资料。公司按照设计开发程序要求安排了适当的设计开发策划、评审、验证、确认活动，所设计</w:t>
            </w:r>
            <w:r>
              <w:rPr>
                <w:rFonts w:hint="eastAsia" w:ascii="宋体" w:hAnsi="宋体" w:cs="宋体"/>
                <w:szCs w:val="21"/>
              </w:rPr>
              <w:t>计量</w:t>
            </w:r>
            <w:r>
              <w:rPr>
                <w:rFonts w:hint="eastAsia" w:ascii="宋体" w:hAnsi="宋体" w:cs="宋体"/>
                <w:szCs w:val="21"/>
                <w:lang w:eastAsia="zh-TW"/>
              </w:rPr>
              <w:t>设备</w:t>
            </w:r>
            <w:r>
              <w:rPr>
                <w:rFonts w:hint="eastAsia" w:ascii="宋体" w:hAnsi="宋体" w:cs="宋体"/>
                <w:szCs w:val="21"/>
              </w:rPr>
              <w:t>的软件</w:t>
            </w:r>
            <w:r>
              <w:rPr>
                <w:rFonts w:hint="eastAsia" w:ascii="宋体" w:hAnsi="宋体" w:cs="宋体"/>
                <w:szCs w:val="21"/>
                <w:lang w:eastAsia="zh-TW"/>
              </w:rPr>
              <w:t>经过使用后，确认符合要求。</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产品设计开发过程中及时进行了数据备份，验收合格后由公司</w:t>
            </w:r>
            <w:r>
              <w:rPr>
                <w:rFonts w:hint="eastAsia" w:ascii="宋体" w:hAnsi="宋体" w:cs="宋体"/>
                <w:szCs w:val="21"/>
              </w:rPr>
              <w:t>质量</w:t>
            </w:r>
            <w:r>
              <w:rPr>
                <w:rFonts w:hint="eastAsia" w:ascii="宋体" w:hAnsi="宋体" w:cs="宋体"/>
                <w:szCs w:val="21"/>
                <w:lang w:eastAsia="zh-TW"/>
              </w:rPr>
              <w:t>技术部存档。</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设计服务过程通过专人负责、产品专用标识和密码防护等措施起到了防错作用。</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研发产品经过测试和确认合格后方可放行交付，发现设计问题时执行售后服务相关规定，目前没有发生。</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ascii="楷体" w:hAnsi="楷体" w:eastAsia="楷体"/>
                <w:sz w:val="24"/>
                <w:szCs w:val="24"/>
              </w:rPr>
            </w:pPr>
            <w:r>
              <w:rPr>
                <w:rFonts w:hint="eastAsia" w:ascii="楷体" w:hAnsi="楷体" w:eastAsia="楷体"/>
                <w:sz w:val="24"/>
                <w:szCs w:val="24"/>
              </w:rPr>
              <w:t>标识和可追溯性</w:t>
            </w:r>
          </w:p>
        </w:tc>
        <w:tc>
          <w:tcPr>
            <w:tcW w:w="1311" w:type="dxa"/>
            <w:vAlign w:val="center"/>
          </w:tcPr>
          <w:p>
            <w:pPr>
              <w:rPr>
                <w:rFonts w:ascii="楷体" w:hAnsi="楷体" w:eastAsia="楷体"/>
                <w:sz w:val="24"/>
                <w:szCs w:val="24"/>
              </w:rPr>
            </w:pPr>
            <w:r>
              <w:rPr>
                <w:rFonts w:hint="eastAsia" w:ascii="楷体" w:hAnsi="楷体" w:eastAsia="楷体"/>
                <w:sz w:val="24"/>
                <w:szCs w:val="24"/>
              </w:rPr>
              <w:t>Q8.5.2</w:t>
            </w:r>
          </w:p>
        </w:tc>
        <w:tc>
          <w:tcPr>
            <w:tcW w:w="10237" w:type="dxa"/>
            <w:vAlign w:val="center"/>
          </w:tcPr>
          <w:p>
            <w:pPr>
              <w:spacing w:line="360" w:lineRule="auto"/>
              <w:rPr>
                <w:rFonts w:ascii="宋体" w:hAnsi="宋体" w:cs="宋体"/>
                <w:szCs w:val="21"/>
                <w:lang w:eastAsia="zh-TW"/>
              </w:rPr>
            </w:pPr>
            <w:r>
              <w:rPr>
                <w:rFonts w:hint="eastAsia" w:ascii="宋体" w:hAnsi="宋体" w:cs="宋体"/>
                <w:szCs w:val="21"/>
                <w:lang w:eastAsia="zh-TW"/>
              </w:rPr>
              <w:t>公司编制《档案管理制度》。</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防止在设计过程</w:t>
            </w:r>
            <w:r>
              <w:rPr>
                <w:rFonts w:hint="eastAsia" w:ascii="宋体" w:hAnsi="宋体" w:cs="宋体"/>
                <w:szCs w:val="21"/>
              </w:rPr>
              <w:t>及检测原始数据</w:t>
            </w:r>
            <w:r>
              <w:rPr>
                <w:rFonts w:hint="eastAsia" w:ascii="宋体" w:hAnsi="宋体" w:cs="宋体"/>
                <w:szCs w:val="21"/>
                <w:lang w:eastAsia="zh-TW"/>
              </w:rPr>
              <w:t>引起混淆和误用，通常文件</w:t>
            </w:r>
            <w:r>
              <w:rPr>
                <w:rFonts w:hint="eastAsia" w:ascii="宋体" w:hAnsi="宋体" w:cs="宋体"/>
                <w:szCs w:val="21"/>
              </w:rPr>
              <w:t>的编号与</w:t>
            </w:r>
            <w:r>
              <w:rPr>
                <w:rFonts w:hint="eastAsia" w:ascii="宋体" w:hAnsi="宋体" w:cs="宋体"/>
                <w:szCs w:val="21"/>
                <w:lang w:eastAsia="zh-TW"/>
              </w:rPr>
              <w:t>电脑中数据</w:t>
            </w:r>
            <w:r>
              <w:rPr>
                <w:rFonts w:hint="eastAsia" w:ascii="宋体" w:hAnsi="宋体" w:cs="宋体"/>
                <w:szCs w:val="21"/>
              </w:rPr>
              <w:t>一致</w:t>
            </w:r>
            <w:r>
              <w:rPr>
                <w:rFonts w:hint="eastAsia" w:ascii="宋体" w:hAnsi="宋体" w:cs="宋体"/>
                <w:szCs w:val="21"/>
                <w:lang w:eastAsia="zh-TW"/>
              </w:rPr>
              <w:t>产品标识表明了以下特征：</w:t>
            </w:r>
          </w:p>
          <w:p>
            <w:pPr>
              <w:spacing w:line="360" w:lineRule="auto"/>
              <w:ind w:firstLine="420" w:firstLineChars="200"/>
              <w:rPr>
                <w:rFonts w:ascii="宋体" w:hAnsi="宋体" w:cs="宋体"/>
                <w:szCs w:val="21"/>
              </w:rPr>
            </w:pPr>
            <w:r>
              <w:rPr>
                <w:rFonts w:hint="eastAsia" w:ascii="宋体" w:hAnsi="宋体" w:cs="宋体"/>
                <w:szCs w:val="21"/>
              </w:rPr>
              <w:t>a）</w:t>
            </w:r>
            <w:r>
              <w:rPr>
                <w:rFonts w:hint="eastAsia" w:ascii="宋体" w:hAnsi="宋体" w:cs="宋体"/>
                <w:szCs w:val="21"/>
                <w:lang w:eastAsia="zh-TW"/>
              </w:rPr>
              <w:t>名称</w:t>
            </w:r>
            <w:r>
              <w:rPr>
                <w:rFonts w:hint="eastAsia" w:ascii="宋体" w:hAnsi="宋体" w:cs="宋体"/>
                <w:szCs w:val="21"/>
              </w:rPr>
              <w:t>、出厂编号、型号/规格、制造单位、证书编号、依据标准、环境温度、环境湿度、软件版本号、日期、人员等信息。</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b）测量状态标识，可在设计验证的有关规定中阐明测量状态的标识，一般在校审记录中标明测量状态。</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c）可追溯性标识</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产品标识的管理符合标准要求。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88" w:hRule="atLeast"/>
        </w:trPr>
        <w:tc>
          <w:tcPr>
            <w:tcW w:w="1809" w:type="dxa"/>
            <w:vAlign w:val="center"/>
          </w:tcPr>
          <w:p>
            <w:pPr>
              <w:rPr>
                <w:rFonts w:ascii="楷体" w:hAnsi="楷体" w:eastAsia="楷体"/>
                <w:sz w:val="24"/>
                <w:szCs w:val="24"/>
              </w:rPr>
            </w:pPr>
            <w:r>
              <w:rPr>
                <w:rFonts w:hint="eastAsia" w:ascii="楷体" w:hAnsi="楷体" w:eastAsia="楷体"/>
                <w:sz w:val="24"/>
                <w:szCs w:val="24"/>
              </w:rPr>
              <w:t>防护</w:t>
            </w:r>
          </w:p>
        </w:tc>
        <w:tc>
          <w:tcPr>
            <w:tcW w:w="1311" w:type="dxa"/>
            <w:vAlign w:val="center"/>
          </w:tcPr>
          <w:p>
            <w:pPr>
              <w:rPr>
                <w:rFonts w:ascii="楷体" w:hAnsi="楷体" w:eastAsia="楷体"/>
                <w:sz w:val="24"/>
                <w:szCs w:val="24"/>
              </w:rPr>
            </w:pPr>
            <w:r>
              <w:rPr>
                <w:rFonts w:ascii="楷体" w:hAnsi="楷体" w:eastAsia="楷体"/>
                <w:sz w:val="24"/>
                <w:szCs w:val="24"/>
              </w:rPr>
              <w:t>Q8.5.4</w:t>
            </w:r>
          </w:p>
        </w:tc>
        <w:tc>
          <w:tcPr>
            <w:tcW w:w="10237" w:type="dxa"/>
            <w:vAlign w:val="center"/>
          </w:tcPr>
          <w:p>
            <w:pPr>
              <w:spacing w:line="360" w:lineRule="auto"/>
              <w:ind w:firstLine="420" w:firstLineChars="200"/>
              <w:rPr>
                <w:rFonts w:ascii="宋体" w:hAnsi="宋体" w:cs="宋体"/>
                <w:szCs w:val="21"/>
                <w:lang w:eastAsia="zh-TW"/>
              </w:rPr>
            </w:pPr>
            <w:r>
              <w:rPr>
                <w:rFonts w:hint="eastAsia" w:ascii="宋体" w:hAnsi="宋体" w:cs="宋体"/>
                <w:szCs w:val="21"/>
              </w:rPr>
              <w:t>质量</w:t>
            </w:r>
            <w:r>
              <w:rPr>
                <w:rFonts w:hint="eastAsia" w:ascii="宋体" w:hAnsi="宋体" w:cs="宋体"/>
                <w:szCs w:val="21"/>
                <w:lang w:eastAsia="zh-TW"/>
              </w:rPr>
              <w:t>技术部负责档案文件、编程代码的防护，包括标识、搬运、包装、贮存和保护。</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设计</w:t>
            </w:r>
            <w:r>
              <w:rPr>
                <w:rFonts w:hint="eastAsia" w:ascii="宋体" w:hAnsi="宋体" w:cs="宋体"/>
                <w:szCs w:val="21"/>
              </w:rPr>
              <w:t>、检测</w:t>
            </w:r>
            <w:r>
              <w:rPr>
                <w:rFonts w:hint="eastAsia" w:ascii="宋体" w:hAnsi="宋体" w:cs="宋体"/>
                <w:szCs w:val="21"/>
                <w:lang w:eastAsia="zh-TW"/>
              </w:rPr>
              <w:t>的文件</w:t>
            </w:r>
            <w:r>
              <w:rPr>
                <w:rFonts w:hint="eastAsia" w:ascii="宋体" w:hAnsi="宋体" w:cs="宋体"/>
                <w:szCs w:val="21"/>
              </w:rPr>
              <w:t>、</w:t>
            </w:r>
            <w:r>
              <w:rPr>
                <w:rFonts w:hint="eastAsia" w:ascii="宋体" w:hAnsi="宋体" w:cs="宋体"/>
                <w:szCs w:val="21"/>
                <w:lang w:eastAsia="zh-TW"/>
              </w:rPr>
              <w:t>在内部交接和交付顾客期间，包括存档期内，都符合相关防护要求。</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现场检查：档案橱内文件分类存放，有专用文件夹，标明了文件档案的名称。档案橱上锁保密，电脑设置了密码，安装有电脑保密系统软件，文件编程代码有密码保护。</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产品防护的管理符合标准要求。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914" w:hRule="atLeast"/>
        </w:trPr>
        <w:tc>
          <w:tcPr>
            <w:tcW w:w="1809" w:type="dxa"/>
            <w:vAlign w:val="center"/>
          </w:tcPr>
          <w:p>
            <w:pPr>
              <w:rPr>
                <w:rFonts w:ascii="楷体" w:hAnsi="楷体" w:eastAsia="楷体" w:cs="楷体"/>
                <w:sz w:val="24"/>
                <w:szCs w:val="24"/>
              </w:rPr>
            </w:pPr>
            <w:r>
              <w:rPr>
                <w:rFonts w:hint="eastAsia" w:ascii="楷体" w:hAnsi="楷体" w:eastAsia="楷体" w:cs="楷体"/>
                <w:sz w:val="24"/>
                <w:szCs w:val="24"/>
              </w:rPr>
              <w:t>顾客或外部供方财产</w:t>
            </w:r>
          </w:p>
        </w:tc>
        <w:tc>
          <w:tcPr>
            <w:tcW w:w="1311" w:type="dxa"/>
            <w:vAlign w:val="center"/>
          </w:tcPr>
          <w:p>
            <w:pPr>
              <w:rPr>
                <w:rFonts w:ascii="楷体" w:hAnsi="楷体" w:eastAsia="楷体" w:cs="楷体"/>
                <w:sz w:val="24"/>
                <w:szCs w:val="24"/>
              </w:rPr>
            </w:pPr>
            <w:r>
              <w:rPr>
                <w:rFonts w:hint="eastAsia" w:ascii="楷体" w:hAnsi="楷体" w:eastAsia="楷体" w:cs="楷体"/>
                <w:sz w:val="24"/>
                <w:szCs w:val="24"/>
              </w:rPr>
              <w:t>Q8.5.3</w:t>
            </w:r>
          </w:p>
        </w:tc>
        <w:tc>
          <w:tcPr>
            <w:tcW w:w="10237" w:type="dxa"/>
            <w:vAlign w:val="center"/>
          </w:tcPr>
          <w:p>
            <w:pPr>
              <w:spacing w:line="360" w:lineRule="auto"/>
              <w:ind w:firstLine="420" w:firstLineChars="200"/>
              <w:rPr>
                <w:rFonts w:ascii="宋体" w:hAnsi="宋体" w:cs="宋体"/>
                <w:szCs w:val="21"/>
                <w:lang w:eastAsia="zh-TW"/>
              </w:rPr>
            </w:pPr>
            <w:r>
              <w:rPr>
                <w:rFonts w:hint="eastAsia" w:ascii="宋体" w:hAnsi="宋体" w:cs="宋体"/>
                <w:szCs w:val="21"/>
                <w:lang w:eastAsia="zh-TW"/>
              </w:rPr>
              <w:t>该公司顾客或外部财产主要为顾客的技术要求、商业信息和订单合同，现场未发现有其他顾客财产的涉及。客户财产由</w:t>
            </w:r>
            <w:r>
              <w:rPr>
                <w:rFonts w:hint="eastAsia" w:ascii="宋体" w:hAnsi="宋体" w:cs="宋体"/>
                <w:szCs w:val="21"/>
              </w:rPr>
              <w:t>质量</w:t>
            </w:r>
            <w:r>
              <w:rPr>
                <w:rFonts w:hint="eastAsia" w:ascii="宋体" w:hAnsi="宋体" w:cs="宋体"/>
                <w:szCs w:val="21"/>
                <w:lang w:eastAsia="zh-TW"/>
              </w:rPr>
              <w:t>技术部负责管理，经查未发生客户财产丢失或损坏以及顾客的保密信息外泄的情况。</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270" w:hRule="atLeast"/>
        </w:trPr>
        <w:tc>
          <w:tcPr>
            <w:tcW w:w="1809" w:type="dxa"/>
            <w:vAlign w:val="center"/>
          </w:tcPr>
          <w:p>
            <w:pPr>
              <w:rPr>
                <w:rFonts w:ascii="楷体" w:hAnsi="楷体" w:eastAsia="楷体"/>
                <w:sz w:val="24"/>
                <w:szCs w:val="24"/>
              </w:rPr>
            </w:pPr>
            <w:r>
              <w:rPr>
                <w:rFonts w:hint="eastAsia" w:ascii="楷体" w:hAnsi="楷体" w:eastAsia="楷体"/>
                <w:sz w:val="24"/>
                <w:szCs w:val="24"/>
              </w:rPr>
              <w:t>交付后的活动</w:t>
            </w:r>
          </w:p>
        </w:tc>
        <w:tc>
          <w:tcPr>
            <w:tcW w:w="1311" w:type="dxa"/>
          </w:tcPr>
          <w:p>
            <w:pPr>
              <w:spacing w:line="360" w:lineRule="auto"/>
              <w:rPr>
                <w:rFonts w:ascii="楷体" w:hAnsi="楷体" w:eastAsia="楷体" w:cs="宋体"/>
                <w:bCs/>
                <w:sz w:val="24"/>
                <w:szCs w:val="24"/>
              </w:rPr>
            </w:pPr>
            <w:r>
              <w:rPr>
                <w:rFonts w:ascii="楷体" w:hAnsi="楷体" w:eastAsia="楷体"/>
                <w:sz w:val="24"/>
                <w:szCs w:val="24"/>
              </w:rPr>
              <w:t>8.5.5</w:t>
            </w:r>
            <w:r>
              <w:rPr>
                <w:rFonts w:hint="eastAsia" w:ascii="楷体" w:hAnsi="楷体" w:eastAsia="楷体" w:cs="宋体"/>
                <w:bCs/>
                <w:sz w:val="24"/>
                <w:szCs w:val="24"/>
              </w:rPr>
              <w:t xml:space="preserve"> </w:t>
            </w:r>
          </w:p>
        </w:tc>
        <w:tc>
          <w:tcPr>
            <w:tcW w:w="10237" w:type="dxa"/>
            <w:vAlign w:val="center"/>
          </w:tcPr>
          <w:p>
            <w:pPr>
              <w:spacing w:line="360" w:lineRule="auto"/>
              <w:ind w:firstLine="420" w:firstLineChars="200"/>
              <w:rPr>
                <w:rFonts w:ascii="宋体" w:hAnsi="宋体" w:cs="宋体"/>
                <w:szCs w:val="21"/>
              </w:rPr>
            </w:pPr>
            <w:r>
              <w:rPr>
                <w:rFonts w:hint="eastAsia" w:ascii="宋体" w:hAnsi="宋体" w:cs="宋体"/>
                <w:szCs w:val="21"/>
              </w:rPr>
              <w:t xml:space="preserve">   与客户业务负责人进行沟通：组织通过与客户签订合同的形式对交付后的活动进行规定；内容包括了：法律法规要求，交付后不合格的处理，产品的用途，顾客的要求等；</w:t>
            </w:r>
          </w:p>
          <w:p>
            <w:pPr>
              <w:spacing w:line="360" w:lineRule="auto"/>
              <w:ind w:firstLine="420" w:firstLineChars="200"/>
              <w:rPr>
                <w:rFonts w:ascii="宋体" w:hAnsi="宋体" w:cs="宋体"/>
                <w:szCs w:val="21"/>
              </w:rPr>
            </w:pPr>
            <w:r>
              <w:rPr>
                <w:rFonts w:hint="eastAsia" w:ascii="宋体" w:hAnsi="宋体" w:cs="宋体"/>
                <w:szCs w:val="21"/>
              </w:rPr>
              <w:t xml:space="preserve">    暂无交付后违反法律法规要求、违法合同要求、严重客户投诉的情况，据负责人介绍如以后有会收到客户投诉通过邮件或者会议将信息传递给相关过程/部门。</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 xml:space="preserve">   基本满足要求。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rPr>
                <w:rFonts w:ascii="楷体" w:hAnsi="楷体" w:eastAsia="楷体"/>
                <w:sz w:val="24"/>
                <w:szCs w:val="24"/>
              </w:rPr>
            </w:pPr>
            <w:r>
              <w:rPr>
                <w:rFonts w:hint="eastAsia" w:ascii="楷体" w:hAnsi="楷体" w:eastAsia="楷体"/>
                <w:sz w:val="24"/>
                <w:szCs w:val="24"/>
              </w:rPr>
              <w:t>变更控制</w:t>
            </w:r>
          </w:p>
        </w:tc>
        <w:tc>
          <w:tcPr>
            <w:tcW w:w="1311" w:type="dxa"/>
            <w:vAlign w:val="center"/>
          </w:tcPr>
          <w:p>
            <w:pPr>
              <w:rPr>
                <w:rFonts w:ascii="楷体" w:hAnsi="楷体" w:eastAsia="楷体"/>
                <w:sz w:val="24"/>
                <w:szCs w:val="24"/>
              </w:rPr>
            </w:pPr>
            <w:r>
              <w:rPr>
                <w:rFonts w:ascii="楷体" w:hAnsi="楷体" w:eastAsia="楷体"/>
                <w:sz w:val="24"/>
                <w:szCs w:val="24"/>
              </w:rPr>
              <w:t>Q8.5.6</w:t>
            </w:r>
          </w:p>
        </w:tc>
        <w:tc>
          <w:tcPr>
            <w:tcW w:w="10237" w:type="dxa"/>
            <w:vAlign w:val="center"/>
          </w:tcPr>
          <w:p>
            <w:pPr>
              <w:spacing w:line="360" w:lineRule="auto"/>
              <w:ind w:firstLine="420" w:firstLineChars="200"/>
              <w:rPr>
                <w:rFonts w:ascii="宋体" w:hAnsi="宋体" w:cs="宋体"/>
                <w:szCs w:val="21"/>
              </w:rPr>
            </w:pPr>
            <w:r>
              <w:rPr>
                <w:rFonts w:hint="eastAsia" w:ascii="宋体" w:hAnsi="宋体" w:cs="宋体"/>
                <w:szCs w:val="21"/>
                <w:lang w:eastAsia="zh-TW"/>
              </w:rPr>
              <w:t>据</w:t>
            </w:r>
            <w:r>
              <w:rPr>
                <w:rFonts w:hint="eastAsia" w:ascii="宋体" w:hAnsi="宋体" w:cs="宋体"/>
                <w:szCs w:val="21"/>
              </w:rPr>
              <w:t>质量</w:t>
            </w:r>
            <w:r>
              <w:rPr>
                <w:rFonts w:hint="eastAsia" w:ascii="宋体" w:hAnsi="宋体" w:cs="宋体"/>
                <w:szCs w:val="21"/>
                <w:lang w:eastAsia="zh-TW"/>
              </w:rPr>
              <w:t>技术负责人介绍目前顾客、供方比较稳定，有关的法律法规没有发生变化，公司的设备、设施、人员、</w:t>
            </w:r>
            <w:r>
              <w:rPr>
                <w:rFonts w:hint="eastAsia" w:ascii="宋体" w:hAnsi="宋体" w:cs="宋体"/>
                <w:szCs w:val="21"/>
              </w:rPr>
              <w:t>检测规程</w:t>
            </w:r>
            <w:r>
              <w:rPr>
                <w:rFonts w:hint="eastAsia" w:ascii="宋体" w:hAnsi="宋体" w:cs="宋体"/>
                <w:szCs w:val="21"/>
                <w:lang w:eastAsia="zh-TW"/>
              </w:rPr>
              <w:t>都比较固定，在设计服务过程中发生的更改</w:t>
            </w:r>
            <w:r>
              <w:rPr>
                <w:rFonts w:hint="eastAsia" w:ascii="宋体" w:hAnsi="宋体" w:cs="宋体"/>
                <w:szCs w:val="21"/>
              </w:rPr>
              <w:t>需</w:t>
            </w:r>
            <w:r>
              <w:rPr>
                <w:rFonts w:hint="eastAsia" w:ascii="宋体" w:hAnsi="宋体" w:cs="宋体"/>
                <w:szCs w:val="21"/>
                <w:lang w:eastAsia="zh-TW"/>
              </w:rPr>
              <w:t>得到评审确认</w:t>
            </w:r>
            <w:r>
              <w:rPr>
                <w:rFonts w:hint="eastAsia" w:ascii="宋体" w:hAnsi="宋体" w:cs="宋体"/>
                <w:szCs w:val="21"/>
              </w:rPr>
              <w:t>。</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vAlign w:val="center"/>
          </w:tcPr>
          <w:p>
            <w:pPr>
              <w:spacing w:line="360" w:lineRule="auto"/>
              <w:rPr>
                <w:rFonts w:ascii="楷体" w:hAnsi="楷体" w:eastAsia="楷体"/>
                <w:spacing w:val="-10"/>
                <w:sz w:val="24"/>
                <w:szCs w:val="24"/>
              </w:rPr>
            </w:pPr>
            <w:r>
              <w:rPr>
                <w:rFonts w:hint="eastAsia" w:ascii="楷体" w:hAnsi="楷体" w:eastAsia="楷体"/>
                <w:sz w:val="24"/>
                <w:szCs w:val="24"/>
              </w:rPr>
              <w:t>产品和服务的放行</w:t>
            </w:r>
          </w:p>
        </w:tc>
        <w:tc>
          <w:tcPr>
            <w:tcW w:w="1311" w:type="dxa"/>
          </w:tcPr>
          <w:p>
            <w:pPr>
              <w:spacing w:line="360" w:lineRule="auto"/>
              <w:ind w:left="105"/>
              <w:rPr>
                <w:rFonts w:ascii="楷体" w:hAnsi="楷体" w:eastAsia="楷体"/>
                <w:sz w:val="24"/>
                <w:szCs w:val="24"/>
              </w:rPr>
            </w:pPr>
          </w:p>
          <w:p>
            <w:pPr>
              <w:spacing w:line="360" w:lineRule="auto"/>
              <w:rPr>
                <w:rFonts w:ascii="楷体" w:hAnsi="楷体" w:eastAsia="楷体"/>
                <w:sz w:val="24"/>
                <w:szCs w:val="24"/>
              </w:rPr>
            </w:pPr>
          </w:p>
          <w:p>
            <w:pPr>
              <w:spacing w:line="360" w:lineRule="auto"/>
              <w:ind w:left="105"/>
              <w:rPr>
                <w:rFonts w:ascii="楷体" w:hAnsi="楷体" w:eastAsia="楷体"/>
                <w:sz w:val="24"/>
                <w:szCs w:val="24"/>
              </w:rPr>
            </w:pPr>
            <w:r>
              <w:rPr>
                <w:rFonts w:hint="eastAsia" w:ascii="楷体" w:hAnsi="楷体" w:eastAsia="楷体"/>
                <w:sz w:val="24"/>
                <w:szCs w:val="24"/>
              </w:rPr>
              <w:t>Q</w:t>
            </w:r>
            <w:r>
              <w:rPr>
                <w:rFonts w:ascii="楷体" w:hAnsi="楷体" w:eastAsia="楷体"/>
                <w:sz w:val="24"/>
                <w:szCs w:val="24"/>
              </w:rPr>
              <w:t>8.6</w:t>
            </w:r>
            <w:r>
              <w:rPr>
                <w:rFonts w:hint="eastAsia" w:ascii="楷体" w:hAnsi="楷体" w:eastAsia="楷体"/>
                <w:sz w:val="24"/>
                <w:szCs w:val="24"/>
              </w:rPr>
              <w:t xml:space="preserve"> </w:t>
            </w:r>
          </w:p>
          <w:p>
            <w:pPr>
              <w:spacing w:line="360" w:lineRule="auto"/>
              <w:ind w:left="105"/>
              <w:rPr>
                <w:rFonts w:ascii="楷体" w:hAnsi="楷体" w:eastAsia="楷体" w:cs="Arial"/>
                <w:sz w:val="24"/>
                <w:szCs w:val="24"/>
              </w:rPr>
            </w:pPr>
          </w:p>
        </w:tc>
        <w:tc>
          <w:tcPr>
            <w:tcW w:w="10237" w:type="dxa"/>
          </w:tcPr>
          <w:p>
            <w:pPr>
              <w:spacing w:line="360" w:lineRule="auto"/>
              <w:ind w:firstLine="420" w:firstLineChars="200"/>
              <w:rPr>
                <w:lang w:eastAsia="zh-TW"/>
              </w:rPr>
            </w:pPr>
            <w:r>
              <w:rPr>
                <w:rFonts w:hint="eastAsia"/>
              </w:rPr>
              <w:t>设计软件</w:t>
            </w:r>
            <w:r>
              <w:rPr>
                <w:rFonts w:hint="eastAsia"/>
                <w:lang w:eastAsia="zh-TW"/>
              </w:rPr>
              <w:t>经验证后，由技术人员进行相关全套资料的整理，在整理过程中查看内容是否正确，全套资料整理完成后递交</w:t>
            </w:r>
            <w:r>
              <w:rPr>
                <w:rFonts w:hint="eastAsia"/>
              </w:rPr>
              <w:t>质量</w:t>
            </w:r>
            <w:r>
              <w:rPr>
                <w:rFonts w:hint="eastAsia"/>
                <w:lang w:eastAsia="zh-TW"/>
              </w:rPr>
              <w:t>技术部经理和总经理进行复核，确认无误后才交付。</w:t>
            </w:r>
          </w:p>
          <w:p>
            <w:pPr>
              <w:spacing w:line="360" w:lineRule="auto"/>
              <w:ind w:firstLine="420" w:firstLineChars="200"/>
              <w:rPr>
                <w:lang w:eastAsia="zh-TW"/>
              </w:rPr>
            </w:pPr>
            <w:r>
              <w:rPr>
                <w:rFonts w:hint="eastAsia"/>
                <w:lang w:eastAsia="zh-TW"/>
              </w:rPr>
              <w:t>客户</w:t>
            </w:r>
            <w:r>
              <w:rPr>
                <w:rFonts w:hint="eastAsia"/>
              </w:rPr>
              <w:t xml:space="preserve">的计量设备检测校准证书 </w:t>
            </w:r>
            <w:r>
              <w:rPr>
                <w:rFonts w:hint="eastAsia"/>
                <w:lang w:eastAsia="zh-TW"/>
              </w:rPr>
              <w:t>由公司出具报告并备案存档。</w:t>
            </w:r>
          </w:p>
          <w:p>
            <w:pPr>
              <w:spacing w:line="360" w:lineRule="auto"/>
              <w:ind w:firstLine="420" w:firstLineChars="200"/>
              <w:rPr>
                <w:rFonts w:hint="eastAsia"/>
              </w:rPr>
            </w:pPr>
            <w:r>
              <w:rPr>
                <w:rFonts w:hint="eastAsia"/>
              </w:rPr>
              <w:t>采购产品验证及销售服务质量检查参见市场开发部8.2、8.5.1审核记录。</w:t>
            </w:r>
          </w:p>
          <w:p>
            <w:pPr>
              <w:spacing w:line="360" w:lineRule="auto"/>
              <w:ind w:firstLine="420" w:firstLineChars="200"/>
              <w:rPr>
                <w:rFonts w:ascii="宋体" w:hAnsi="宋体" w:cs="宋体"/>
                <w:szCs w:val="21"/>
                <w:lang w:eastAsia="zh-TW"/>
              </w:rPr>
            </w:pPr>
            <w:r>
              <w:rPr>
                <w:rFonts w:hint="eastAsia"/>
                <w:lang w:eastAsia="zh-TW"/>
              </w:rPr>
              <w:t>公司产品的监视和测量控制基本符合规定要求。</w:t>
            </w:r>
          </w:p>
          <w:p>
            <w:pPr>
              <w:pStyle w:val="3"/>
              <w:rPr>
                <w:rFonts w:ascii="宋体" w:hAnsi="宋体" w:cs="宋体"/>
                <w:szCs w:val="21"/>
                <w:lang w:eastAsia="zh-TW"/>
              </w:rPr>
            </w:pPr>
          </w:p>
          <w:p>
            <w:pPr>
              <w:pStyle w:val="3"/>
              <w:rPr>
                <w:rFonts w:ascii="宋体" w:hAnsi="宋体" w:cs="宋体"/>
                <w:szCs w:val="21"/>
              </w:rPr>
            </w:pP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12" w:hRule="atLeast"/>
        </w:trPr>
        <w:tc>
          <w:tcPr>
            <w:tcW w:w="1809" w:type="dxa"/>
          </w:tcPr>
          <w:p>
            <w:pPr>
              <w:spacing w:line="360" w:lineRule="auto"/>
              <w:rPr>
                <w:rFonts w:ascii="楷体" w:hAnsi="楷体" w:eastAsia="楷体"/>
                <w:b/>
                <w:sz w:val="24"/>
                <w:szCs w:val="24"/>
              </w:rPr>
            </w:pPr>
            <w:r>
              <w:rPr>
                <w:rFonts w:hint="eastAsia" w:ascii="楷体" w:hAnsi="楷体" w:eastAsia="楷体"/>
                <w:sz w:val="24"/>
                <w:szCs w:val="24"/>
              </w:rPr>
              <w:t>不合格输出的控制</w:t>
            </w:r>
          </w:p>
        </w:tc>
        <w:tc>
          <w:tcPr>
            <w:tcW w:w="1311" w:type="dxa"/>
          </w:tcPr>
          <w:p>
            <w:pPr>
              <w:spacing w:line="360" w:lineRule="auto"/>
              <w:rPr>
                <w:rFonts w:ascii="楷体" w:hAnsi="楷体" w:eastAsia="楷体"/>
                <w:sz w:val="24"/>
                <w:szCs w:val="24"/>
              </w:rPr>
            </w:pPr>
            <w:r>
              <w:rPr>
                <w:rFonts w:hint="eastAsia" w:ascii="楷体" w:hAnsi="楷体" w:eastAsia="楷体"/>
                <w:sz w:val="24"/>
                <w:szCs w:val="24"/>
              </w:rPr>
              <w:t>Q</w:t>
            </w:r>
            <w:r>
              <w:rPr>
                <w:rFonts w:ascii="楷体" w:hAnsi="楷体" w:eastAsia="楷体"/>
                <w:sz w:val="24"/>
                <w:szCs w:val="24"/>
              </w:rPr>
              <w:t>8.7</w:t>
            </w:r>
            <w:r>
              <w:rPr>
                <w:rFonts w:hint="eastAsia" w:ascii="楷体" w:hAnsi="楷体" w:eastAsia="楷体"/>
                <w:sz w:val="24"/>
                <w:szCs w:val="24"/>
              </w:rPr>
              <w:t xml:space="preserve"> </w:t>
            </w:r>
          </w:p>
          <w:p>
            <w:pPr>
              <w:spacing w:line="360" w:lineRule="auto"/>
              <w:ind w:left="105"/>
              <w:rPr>
                <w:rFonts w:ascii="楷体" w:hAnsi="楷体" w:eastAsia="楷体" w:cs="Arial"/>
                <w:sz w:val="24"/>
                <w:szCs w:val="24"/>
              </w:rPr>
            </w:pPr>
          </w:p>
        </w:tc>
        <w:tc>
          <w:tcPr>
            <w:tcW w:w="10237" w:type="dxa"/>
          </w:tcPr>
          <w:p>
            <w:pPr>
              <w:spacing w:line="360" w:lineRule="auto"/>
              <w:ind w:firstLine="420" w:firstLineChars="200"/>
              <w:rPr>
                <w:rFonts w:ascii="宋体" w:hAnsi="宋体" w:cs="宋体"/>
                <w:szCs w:val="21"/>
                <w:lang w:eastAsia="zh-TW"/>
              </w:rPr>
            </w:pPr>
            <w:r>
              <w:rPr>
                <w:rFonts w:hint="eastAsia" w:ascii="宋体" w:hAnsi="宋体" w:cs="宋体"/>
                <w:szCs w:val="21"/>
                <w:lang w:eastAsia="zh-TW"/>
              </w:rPr>
              <w:t>公司制定并执行了《不合格输出控制程序》，文件对不合格品的识别、控制方法、职责权限作出了具体规定，基本符合标准要求。</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设计</w:t>
            </w:r>
            <w:r>
              <w:rPr>
                <w:rFonts w:hint="eastAsia" w:ascii="宋体" w:hAnsi="宋体" w:cs="宋体"/>
                <w:szCs w:val="21"/>
              </w:rPr>
              <w:t>、检测</w:t>
            </w:r>
            <w:r>
              <w:rPr>
                <w:rFonts w:hint="eastAsia" w:ascii="宋体" w:hAnsi="宋体" w:cs="宋体"/>
                <w:szCs w:val="21"/>
                <w:lang w:eastAsia="zh-TW"/>
              </w:rPr>
              <w:t>过程中的不合格品即校审、评审、验证、确认各阶段的不符合，通常采用设计更改的方式进行。经了解，暂无设计过程的不合格品发生进行更改。</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公司能够使现场不合格品得到有效识别，并防止非预期使用和交付。</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产品交付后没有发现不合格的情况，不合格品控制有效。</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tcPr>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r>
              <w:rPr>
                <w:rFonts w:hint="eastAsia" w:asciiTheme="minorEastAsia" w:hAnsiTheme="minorEastAsia" w:eastAsiaTheme="minorEastAsia"/>
                <w:bCs/>
                <w:sz w:val="24"/>
                <w:szCs w:val="24"/>
              </w:rPr>
              <w:t>环境因素</w:t>
            </w:r>
          </w:p>
          <w:p>
            <w:pPr>
              <w:spacing w:line="360" w:lineRule="auto"/>
              <w:rPr>
                <w:rFonts w:cs="宋体" w:asciiTheme="minorEastAsia" w:hAnsiTheme="minorEastAsia" w:eastAsiaTheme="minorEastAsia"/>
                <w:sz w:val="24"/>
                <w:szCs w:val="24"/>
              </w:rPr>
            </w:pPr>
            <w:r>
              <w:rPr>
                <w:rFonts w:hint="eastAsia" w:asciiTheme="minorEastAsia" w:hAnsiTheme="minorEastAsia" w:eastAsiaTheme="minorEastAsia"/>
                <w:bCs/>
                <w:sz w:val="24"/>
                <w:szCs w:val="24"/>
              </w:rPr>
              <w:t>危险源</w:t>
            </w:r>
          </w:p>
        </w:tc>
        <w:tc>
          <w:tcPr>
            <w:tcW w:w="1311" w:type="dxa"/>
          </w:tcPr>
          <w:p>
            <w:pPr>
              <w:spacing w:line="360" w:lineRule="auto"/>
              <w:rPr>
                <w:rFonts w:asciiTheme="minorEastAsia" w:hAnsiTheme="minorEastAsia" w:eastAsiaTheme="minorEastAsia"/>
                <w:bCs/>
                <w:sz w:val="24"/>
                <w:szCs w:val="24"/>
              </w:rPr>
            </w:pPr>
            <w:bookmarkStart w:id="0" w:name="_GoBack"/>
            <w:bookmarkEnd w:id="0"/>
          </w:p>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r>
              <w:rPr>
                <w:rFonts w:hint="eastAsia" w:asciiTheme="minorEastAsia" w:hAnsiTheme="minorEastAsia" w:eastAsiaTheme="minorEastAsia"/>
                <w:bCs/>
                <w:sz w:val="24"/>
                <w:szCs w:val="24"/>
              </w:rPr>
              <w:t>EO6.1.2</w:t>
            </w:r>
          </w:p>
          <w:p>
            <w:pPr>
              <w:spacing w:line="360" w:lineRule="auto"/>
              <w:rPr>
                <w:rFonts w:cs="宋体" w:asciiTheme="minorEastAsia" w:hAnsiTheme="minorEastAsia" w:eastAsiaTheme="minorEastAsia"/>
                <w:sz w:val="24"/>
                <w:szCs w:val="24"/>
              </w:rPr>
            </w:pPr>
          </w:p>
        </w:tc>
        <w:tc>
          <w:tcPr>
            <w:tcW w:w="10237" w:type="dxa"/>
          </w:tcPr>
          <w:p>
            <w:pPr>
              <w:spacing w:line="360" w:lineRule="auto"/>
              <w:ind w:firstLine="420" w:firstLineChars="200"/>
              <w:rPr>
                <w:rFonts w:ascii="宋体" w:hAnsi="宋体" w:cs="宋体"/>
                <w:szCs w:val="21"/>
                <w:lang w:eastAsia="zh-TW"/>
              </w:rPr>
            </w:pPr>
            <w:r>
              <w:rPr>
                <w:rFonts w:hint="eastAsia" w:ascii="宋体" w:hAnsi="宋体" w:cs="宋体"/>
                <w:szCs w:val="21"/>
                <w:lang w:eastAsia="zh-TW"/>
              </w:rPr>
              <w:t>提供了《环境因素的识别、评价控制程序》、《危险源辨识、风险评价和控制措施确定控制程序》，对环境因素、危险源的识别、评价结果、控制手段等做出了规定。</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部门负责人介绍了对环境因素、危险源进行了辨识，考虑了三种时态，过去、现在和将来，三种状态，正常、异常和紧急，按照办公区域及工作过程，另外按照区域及工作过程等进行了辨识。</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查《</w:t>
            </w:r>
            <w:r>
              <w:rPr>
                <w:rFonts w:hint="eastAsia" w:ascii="宋体" w:hAnsi="宋体" w:cs="宋体"/>
                <w:szCs w:val="21"/>
              </w:rPr>
              <w:t>质量技术部</w:t>
            </w:r>
            <w:r>
              <w:rPr>
                <w:rFonts w:hint="eastAsia" w:ascii="宋体" w:hAnsi="宋体" w:cs="宋体"/>
                <w:szCs w:val="21"/>
                <w:lang w:eastAsia="zh-TW"/>
              </w:rPr>
              <w:t>环境因素识别评价表》，对本部门</w:t>
            </w:r>
            <w:r>
              <w:rPr>
                <w:rFonts w:hint="eastAsia" w:ascii="宋体" w:hAnsi="宋体" w:cs="宋体"/>
                <w:szCs w:val="21"/>
              </w:rPr>
              <w:t>检测</w:t>
            </w:r>
            <w:r>
              <w:rPr>
                <w:rFonts w:hint="eastAsia" w:ascii="宋体" w:hAnsi="宋体" w:cs="宋体"/>
                <w:szCs w:val="21"/>
                <w:lang w:eastAsia="zh-TW"/>
              </w:rPr>
              <w:t>和办公等有关过程的环境因素。分别识别了日常办公过程中的固废（废电池、灯管、墨盒、笔）造成的地面污染、水资源利用（拖地、厕所用水）的水资源消耗、照明、空调、办公设施等电能消耗、意外火灾引起的污染大气、污染地面、资源消耗、</w:t>
            </w:r>
            <w:r>
              <w:rPr>
                <w:rFonts w:hint="eastAsia" w:ascii="宋体" w:hAnsi="宋体" w:cs="宋体"/>
                <w:szCs w:val="21"/>
              </w:rPr>
              <w:t>检测</w:t>
            </w:r>
            <w:r>
              <w:rPr>
                <w:rFonts w:hint="eastAsia" w:ascii="宋体" w:hAnsi="宋体" w:cs="宋体"/>
                <w:szCs w:val="21"/>
                <w:lang w:eastAsia="zh-TW"/>
              </w:rPr>
              <w:t>过程（固废、噪声排放、火灾、电能消耗、粉尘排放、噪声超标）、设备维修（废弃丢弃、漏油、更换新部件）等环境因素。</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查到：《重要环境因素清单》，公司涉及重要环境因素：固体废弃物的排放、潜在火灾等，本部门涉及的重要环境因素：均有涉及。</w:t>
            </w:r>
          </w:p>
          <w:p>
            <w:pPr>
              <w:spacing w:line="360" w:lineRule="auto"/>
              <w:ind w:firstLine="420" w:firstLineChars="200"/>
              <w:rPr>
                <w:rFonts w:ascii="宋体" w:hAnsi="宋体" w:cs="宋体"/>
                <w:szCs w:val="21"/>
                <w:lang w:eastAsia="zh-TW"/>
              </w:rPr>
            </w:pPr>
            <w:r>
              <w:rPr>
                <w:rFonts w:hint="eastAsia" w:ascii="宋体" w:hAnsi="宋体" w:cs="宋体"/>
                <w:szCs w:val="21"/>
                <w:lang w:eastAsia="zh-TW"/>
              </w:rPr>
              <w:t>查《危险源辨识及风险评价表》，部门：</w:t>
            </w:r>
            <w:r>
              <w:rPr>
                <w:rFonts w:hint="eastAsia" w:ascii="宋体" w:hAnsi="宋体" w:cs="宋体"/>
                <w:szCs w:val="21"/>
              </w:rPr>
              <w:t>质量</w:t>
            </w:r>
            <w:r>
              <w:rPr>
                <w:rFonts w:hint="eastAsia" w:ascii="宋体" w:hAnsi="宋体" w:cs="宋体"/>
                <w:szCs w:val="21"/>
                <w:lang w:eastAsia="zh-TW"/>
              </w:rPr>
              <w:t>技术部，识别了办公和</w:t>
            </w:r>
            <w:r>
              <w:rPr>
                <w:rFonts w:hint="eastAsia" w:ascii="宋体" w:hAnsi="宋体" w:cs="宋体"/>
                <w:szCs w:val="21"/>
              </w:rPr>
              <w:t>检测</w:t>
            </w:r>
            <w:r>
              <w:rPr>
                <w:rFonts w:hint="eastAsia" w:ascii="宋体" w:hAnsi="宋体" w:cs="宋体"/>
                <w:szCs w:val="21"/>
                <w:lang w:eastAsia="zh-TW"/>
              </w:rPr>
              <w:t>过程中垃圾不及时可能导致的疾病传染、人离开未断电源可能导致的的火灾、</w:t>
            </w:r>
            <w:r>
              <w:rPr>
                <w:rFonts w:hint="eastAsia" w:ascii="宋体" w:hAnsi="宋体" w:cs="宋体"/>
                <w:szCs w:val="21"/>
              </w:rPr>
              <w:t>检测</w:t>
            </w:r>
            <w:r>
              <w:rPr>
                <w:rFonts w:hint="eastAsia" w:ascii="宋体" w:hAnsi="宋体" w:cs="宋体"/>
                <w:szCs w:val="21"/>
                <w:lang w:eastAsia="zh-TW"/>
              </w:rPr>
              <w:t>过程违规操作可能导致的人身伤害等危险源。</w:t>
            </w:r>
          </w:p>
          <w:p>
            <w:pPr>
              <w:spacing w:line="360" w:lineRule="auto"/>
              <w:ind w:firstLine="420" w:firstLineChars="200"/>
              <w:rPr>
                <w:rFonts w:ascii="宋体" w:hAnsi="宋体" w:cs="宋体"/>
                <w:szCs w:val="21"/>
              </w:rPr>
            </w:pPr>
            <w:r>
              <w:rPr>
                <w:rFonts w:hint="eastAsia" w:ascii="宋体" w:hAnsi="宋体" w:cs="宋体"/>
                <w:szCs w:val="21"/>
                <w:lang w:eastAsia="zh-TW"/>
              </w:rPr>
              <w:t xml:space="preserve">查到：《不可接受风险清单》，公司涉及重大危险源 </w:t>
            </w:r>
            <w:r>
              <w:rPr>
                <w:rFonts w:hint="eastAsia" w:ascii="宋体" w:hAnsi="宋体" w:cs="宋体"/>
                <w:szCs w:val="21"/>
              </w:rPr>
              <w:t>2</w:t>
            </w:r>
            <w:r>
              <w:rPr>
                <w:rFonts w:hint="eastAsia" w:ascii="宋体" w:hAnsi="宋体" w:cs="宋体"/>
                <w:szCs w:val="21"/>
                <w:lang w:eastAsia="zh-TW"/>
              </w:rPr>
              <w:t>项：潜在火灾、触电</w:t>
            </w:r>
            <w:r>
              <w:rPr>
                <w:rFonts w:hint="eastAsia" w:ascii="宋体" w:hAnsi="宋体" w:cs="宋体"/>
                <w:szCs w:val="21"/>
              </w:rPr>
              <w:t>，</w:t>
            </w:r>
            <w:r>
              <w:rPr>
                <w:rFonts w:hint="eastAsia" w:ascii="宋体" w:hAnsi="宋体" w:cs="宋体"/>
                <w:szCs w:val="21"/>
                <w:lang w:eastAsia="zh-TW"/>
              </w:rPr>
              <w:t>本部门涉及的不可接受风险：</w:t>
            </w:r>
            <w:r>
              <w:rPr>
                <w:rFonts w:hint="eastAsia" w:ascii="宋体" w:hAnsi="宋体" w:cs="宋体"/>
                <w:szCs w:val="21"/>
              </w:rPr>
              <w:t>均有涉及。</w:t>
            </w:r>
          </w:p>
          <w:p>
            <w:pPr>
              <w:spacing w:line="360" w:lineRule="auto"/>
              <w:ind w:firstLine="420" w:firstLineChars="200"/>
              <w:rPr>
                <w:rFonts w:ascii="宋体" w:hAnsi="宋体" w:cs="宋体"/>
                <w:szCs w:val="21"/>
              </w:rPr>
            </w:pPr>
            <w:r>
              <w:rPr>
                <w:rFonts w:hint="eastAsia" w:ascii="宋体" w:hAnsi="宋体" w:cs="宋体"/>
                <w:szCs w:val="21"/>
                <w:lang w:eastAsia="zh-TW"/>
              </w:rPr>
              <w:t>对于</w:t>
            </w:r>
            <w:r>
              <w:rPr>
                <w:rFonts w:hint="eastAsia" w:ascii="宋体" w:hAnsi="宋体" w:cs="宋体"/>
                <w:szCs w:val="21"/>
              </w:rPr>
              <w:t>环境因素、重要环境因素及危险源、不可接受风险等通过运行控制、管理方案、应急准备与响应进行控制。</w:t>
            </w:r>
          </w:p>
          <w:p>
            <w:pPr>
              <w:spacing w:line="360" w:lineRule="auto"/>
              <w:ind w:firstLine="420" w:firstLineChars="200"/>
              <w:rPr>
                <w:rFonts w:cs="宋体" w:asciiTheme="minorEastAsia" w:hAnsiTheme="minorEastAsia" w:eastAsiaTheme="minorEastAsia"/>
                <w:sz w:val="24"/>
                <w:szCs w:val="24"/>
              </w:rPr>
            </w:pPr>
            <w:r>
              <w:rPr>
                <w:rFonts w:hint="eastAsia" w:ascii="宋体" w:hAnsi="宋体" w:cs="宋体"/>
                <w:szCs w:val="21"/>
              </w:rPr>
              <w:t>质量技术部环境因素、危险源的识别、评价基本符合标准要求。</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87" w:hRule="atLeast"/>
        </w:trPr>
        <w:tc>
          <w:tcPr>
            <w:tcW w:w="1809" w:type="dxa"/>
          </w:tcPr>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p>
          <w:p>
            <w:pPr>
              <w:spacing w:line="360" w:lineRule="auto"/>
              <w:rPr>
                <w:rFonts w:cs="宋体" w:asciiTheme="minorEastAsia" w:hAnsiTheme="minorEastAsia" w:eastAsiaTheme="minorEastAsia"/>
                <w:sz w:val="24"/>
                <w:szCs w:val="24"/>
              </w:rPr>
            </w:pPr>
            <w:r>
              <w:rPr>
                <w:rFonts w:hint="eastAsia" w:asciiTheme="minorEastAsia" w:hAnsiTheme="minorEastAsia" w:eastAsiaTheme="minorEastAsia"/>
                <w:bCs/>
                <w:sz w:val="24"/>
                <w:szCs w:val="24"/>
              </w:rPr>
              <w:t>运行控制</w:t>
            </w:r>
          </w:p>
        </w:tc>
        <w:tc>
          <w:tcPr>
            <w:tcW w:w="1311" w:type="dxa"/>
          </w:tcPr>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p>
          <w:p>
            <w:pPr>
              <w:spacing w:line="360" w:lineRule="auto"/>
              <w:rPr>
                <w:rFonts w:asciiTheme="minorEastAsia" w:hAnsiTheme="minorEastAsia" w:eastAsiaTheme="minorEastAsia"/>
                <w:bCs/>
                <w:sz w:val="24"/>
                <w:szCs w:val="24"/>
              </w:rPr>
            </w:pPr>
            <w:r>
              <w:rPr>
                <w:rFonts w:hint="eastAsia" w:asciiTheme="minorEastAsia" w:hAnsiTheme="minorEastAsia" w:eastAsiaTheme="minorEastAsia"/>
                <w:bCs/>
                <w:sz w:val="24"/>
                <w:szCs w:val="24"/>
              </w:rPr>
              <w:t>EO8.1</w:t>
            </w:r>
          </w:p>
          <w:p>
            <w:pPr>
              <w:spacing w:line="360" w:lineRule="auto"/>
              <w:rPr>
                <w:rFonts w:cs="宋体" w:asciiTheme="minorEastAsia" w:hAnsiTheme="minorEastAsia" w:eastAsiaTheme="minorEastAsia"/>
                <w:sz w:val="24"/>
                <w:szCs w:val="24"/>
              </w:rPr>
            </w:pPr>
          </w:p>
        </w:tc>
        <w:tc>
          <w:tcPr>
            <w:tcW w:w="10237" w:type="dxa"/>
          </w:tcPr>
          <w:p>
            <w:pPr>
              <w:spacing w:line="360" w:lineRule="auto"/>
              <w:ind w:firstLine="420" w:firstLineChars="200"/>
              <w:rPr>
                <w:rFonts w:ascii="宋体" w:hAnsi="宋体" w:cs="宋体"/>
                <w:szCs w:val="21"/>
              </w:rPr>
            </w:pPr>
            <w:r>
              <w:rPr>
                <w:rFonts w:hint="eastAsia" w:ascii="宋体" w:hAnsi="宋体" w:cs="宋体"/>
                <w:szCs w:val="21"/>
              </w:rPr>
              <w:t>编制与环境、安全体系运行控制有关的文件有编制了《应急准备和响应控制程序》，确定的紧急情况有：火灾、触电，提供了紧急情况的《应急预案》。</w:t>
            </w:r>
          </w:p>
          <w:p>
            <w:pPr>
              <w:spacing w:line="360" w:lineRule="auto"/>
              <w:ind w:firstLine="421"/>
              <w:rPr>
                <w:rFonts w:ascii="宋体" w:hAnsi="宋体" w:cs="宋体"/>
                <w:szCs w:val="21"/>
              </w:rPr>
            </w:pPr>
            <w:r>
              <w:rPr>
                <w:rFonts w:hint="eastAsia" w:ascii="宋体" w:hAnsi="宋体" w:cs="宋体"/>
                <w:szCs w:val="21"/>
              </w:rPr>
              <w:t>1、废水管控、废气管控：</w:t>
            </w:r>
          </w:p>
          <w:p>
            <w:pPr>
              <w:tabs>
                <w:tab w:val="left" w:pos="6597"/>
              </w:tabs>
              <w:spacing w:line="360" w:lineRule="auto"/>
              <w:ind w:firstLine="420" w:firstLineChars="200"/>
              <w:rPr>
                <w:rFonts w:ascii="宋体" w:hAnsi="宋体" w:cs="宋体"/>
                <w:szCs w:val="21"/>
              </w:rPr>
            </w:pPr>
            <w:r>
              <w:rPr>
                <w:rFonts w:hint="eastAsia" w:ascii="宋体" w:hAnsi="宋体" w:cs="宋体"/>
                <w:color w:val="000000"/>
                <w:szCs w:val="21"/>
              </w:rPr>
              <w:t>公司检测过程无废水、</w:t>
            </w:r>
            <w:r>
              <w:rPr>
                <w:rFonts w:hint="eastAsia" w:ascii="宋体" w:hAnsi="宋体" w:cs="宋体"/>
                <w:szCs w:val="21"/>
              </w:rPr>
              <w:t>废气</w:t>
            </w:r>
            <w:r>
              <w:rPr>
                <w:rFonts w:hint="eastAsia" w:ascii="宋体" w:hAnsi="宋体" w:cs="宋体"/>
                <w:color w:val="000000"/>
                <w:szCs w:val="21"/>
              </w:rPr>
              <w:t>外排。</w:t>
            </w:r>
          </w:p>
          <w:p>
            <w:pPr>
              <w:spacing w:line="360" w:lineRule="auto"/>
              <w:ind w:firstLine="421"/>
              <w:rPr>
                <w:rFonts w:ascii="宋体" w:hAnsi="宋体" w:cs="宋体"/>
                <w:szCs w:val="21"/>
              </w:rPr>
            </w:pPr>
            <w:r>
              <w:rPr>
                <w:rFonts w:hint="eastAsia" w:ascii="宋体" w:hAnsi="宋体" w:cs="宋体"/>
                <w:szCs w:val="21"/>
              </w:rPr>
              <w:t>2、固废管控：质量技术部将 废弃物放置固定位置，积攒一定量后出售回收单位再利用。</w:t>
            </w:r>
          </w:p>
          <w:p>
            <w:pPr>
              <w:spacing w:line="360" w:lineRule="auto"/>
              <w:ind w:firstLine="420" w:firstLineChars="200"/>
              <w:rPr>
                <w:rFonts w:ascii="宋体" w:hAnsi="宋体" w:cs="宋体"/>
                <w:szCs w:val="21"/>
              </w:rPr>
            </w:pPr>
            <w:r>
              <w:rPr>
                <w:rFonts w:hint="eastAsia" w:ascii="宋体" w:hAnsi="宋体" w:cs="宋体"/>
                <w:szCs w:val="21"/>
              </w:rPr>
              <w:t>3、能源资源管控：</w:t>
            </w:r>
          </w:p>
          <w:p>
            <w:pPr>
              <w:spacing w:line="360" w:lineRule="auto"/>
              <w:ind w:firstLine="420" w:firstLineChars="200"/>
              <w:rPr>
                <w:rFonts w:ascii="宋体" w:hAnsi="宋体" w:cs="宋体"/>
                <w:szCs w:val="21"/>
              </w:rPr>
            </w:pPr>
            <w:r>
              <w:rPr>
                <w:rFonts w:hint="eastAsia" w:ascii="宋体" w:hAnsi="宋体" w:cs="宋体"/>
                <w:szCs w:val="21"/>
              </w:rPr>
              <w:t xml:space="preserve"> 注意节水、节电，人走关闭设备和照明开关，现场未发现有漏水和浪费电能的现象。</w:t>
            </w:r>
          </w:p>
          <w:p>
            <w:pPr>
              <w:spacing w:line="360" w:lineRule="auto"/>
              <w:ind w:firstLine="421"/>
              <w:rPr>
                <w:rFonts w:ascii="宋体" w:hAnsi="宋体" w:cs="宋体"/>
                <w:szCs w:val="21"/>
              </w:rPr>
            </w:pPr>
            <w:r>
              <w:rPr>
                <w:rFonts w:hint="eastAsia" w:ascii="宋体" w:hAnsi="宋体" w:cs="宋体"/>
                <w:szCs w:val="21"/>
              </w:rPr>
              <w:t>4、潜在火灾管控：</w:t>
            </w:r>
          </w:p>
          <w:p>
            <w:pPr>
              <w:spacing w:line="360" w:lineRule="auto"/>
              <w:ind w:firstLine="630" w:firstLineChars="300"/>
              <w:rPr>
                <w:rFonts w:ascii="宋体" w:hAnsi="宋体" w:cs="宋体"/>
                <w:szCs w:val="21"/>
              </w:rPr>
            </w:pPr>
            <w:r>
              <w:rPr>
                <w:rFonts w:hint="eastAsia" w:ascii="宋体" w:hAnsi="宋体" w:cs="宋体"/>
                <w:szCs w:val="21"/>
              </w:rPr>
              <w:t>实验室内配备了灭火器，均符合要求。</w:t>
            </w:r>
          </w:p>
          <w:p>
            <w:pPr>
              <w:spacing w:line="360" w:lineRule="auto"/>
              <w:ind w:firstLine="421"/>
              <w:rPr>
                <w:rFonts w:ascii="宋体" w:hAnsi="宋体" w:cs="宋体"/>
                <w:szCs w:val="21"/>
              </w:rPr>
            </w:pPr>
            <w:r>
              <w:rPr>
                <w:rFonts w:hint="eastAsia" w:ascii="宋体" w:hAnsi="宋体" w:cs="宋体"/>
                <w:szCs w:val="21"/>
              </w:rPr>
              <w:t>5、安全防护：</w:t>
            </w:r>
          </w:p>
          <w:p>
            <w:pPr>
              <w:spacing w:line="360" w:lineRule="auto"/>
              <w:ind w:firstLine="421"/>
              <w:rPr>
                <w:rFonts w:ascii="宋体" w:hAnsi="宋体" w:cs="宋体"/>
                <w:szCs w:val="21"/>
              </w:rPr>
            </w:pPr>
            <w:r>
              <w:rPr>
                <w:rFonts w:hint="eastAsia" w:ascii="宋体" w:hAnsi="宋体" w:cs="宋体"/>
                <w:szCs w:val="21"/>
              </w:rPr>
              <w:t>公司给员工发放手套、口罩、防护眼镜等劳保用品， 设备上悬挂安全警示牌。设备旋转部位和凸出部位，安装有防护罩等，设备运行状况良好。</w:t>
            </w:r>
          </w:p>
          <w:p>
            <w:pPr>
              <w:spacing w:line="360" w:lineRule="auto"/>
              <w:ind w:firstLine="420" w:firstLineChars="200"/>
              <w:rPr>
                <w:rFonts w:ascii="宋体" w:hAnsi="宋体" w:cs="宋体"/>
                <w:szCs w:val="21"/>
              </w:rPr>
            </w:pPr>
            <w:r>
              <w:rPr>
                <w:rFonts w:hint="eastAsia" w:ascii="宋体" w:hAnsi="宋体" w:cs="宋体"/>
                <w:szCs w:val="21"/>
              </w:rPr>
              <w:t>6、能提供防止员工意外伤害加重的急救药品如创可贴、杀菌药水等。</w:t>
            </w:r>
          </w:p>
          <w:p>
            <w:pPr>
              <w:spacing w:line="360" w:lineRule="auto"/>
              <w:ind w:firstLine="421"/>
              <w:rPr>
                <w:rFonts w:ascii="宋体" w:hAnsi="宋体" w:cs="宋体"/>
                <w:szCs w:val="21"/>
              </w:rPr>
            </w:pPr>
            <w:r>
              <w:rPr>
                <w:rFonts w:hint="eastAsia" w:ascii="宋体" w:hAnsi="宋体" w:cs="宋体"/>
                <w:szCs w:val="21"/>
              </w:rPr>
              <w:t>7、为主要长期员工上社保，查见交款证明。</w:t>
            </w:r>
          </w:p>
          <w:p>
            <w:pPr>
              <w:spacing w:line="360" w:lineRule="auto"/>
              <w:ind w:firstLine="421"/>
              <w:rPr>
                <w:rFonts w:cs="宋体" w:asciiTheme="minorEastAsia" w:hAnsiTheme="minorEastAsia" w:eastAsiaTheme="minorEastAsia"/>
                <w:b/>
                <w:bCs/>
                <w:sz w:val="24"/>
                <w:szCs w:val="24"/>
              </w:rPr>
            </w:pPr>
            <w:r>
              <w:rPr>
                <w:rFonts w:hint="eastAsia" w:ascii="宋体" w:hAnsi="宋体" w:cs="宋体"/>
                <w:szCs w:val="21"/>
              </w:rPr>
              <w:t>8、员工饮用水为纯净水通过饮水机饮用。</w:t>
            </w:r>
          </w:p>
        </w:tc>
        <w:tc>
          <w:tcPr>
            <w:tcW w:w="1352" w:type="dxa"/>
          </w:tcPr>
          <w:p>
            <w:pPr>
              <w:rPr>
                <w:rFonts w:ascii="楷体" w:hAnsi="楷体" w:eastAsia="楷体"/>
                <w:sz w:val="24"/>
                <w:szCs w:val="24"/>
              </w:rPr>
            </w:pP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110" w:hRule="atLeast"/>
        </w:trPr>
        <w:tc>
          <w:tcPr>
            <w:tcW w:w="1809" w:type="dxa"/>
          </w:tcPr>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szCs w:val="21"/>
              </w:rPr>
            </w:pPr>
            <w:r>
              <w:rPr>
                <w:rFonts w:hint="eastAsia" w:ascii="宋体" w:hAnsi="宋体" w:cs="宋体"/>
                <w:bCs/>
                <w:szCs w:val="21"/>
              </w:rPr>
              <w:t>应急准备和相应</w:t>
            </w:r>
          </w:p>
        </w:tc>
        <w:tc>
          <w:tcPr>
            <w:tcW w:w="1311" w:type="dxa"/>
          </w:tcPr>
          <w:p>
            <w:pPr>
              <w:spacing w:line="360" w:lineRule="auto"/>
              <w:rPr>
                <w:rFonts w:ascii="宋体" w:hAnsi="宋体" w:cs="宋体"/>
                <w:bCs/>
                <w:szCs w:val="21"/>
              </w:rPr>
            </w:pPr>
          </w:p>
          <w:p>
            <w:pPr>
              <w:spacing w:line="360" w:lineRule="auto"/>
              <w:rPr>
                <w:rFonts w:ascii="宋体" w:hAnsi="宋体" w:cs="宋体"/>
                <w:bCs/>
                <w:szCs w:val="21"/>
              </w:rPr>
            </w:pPr>
          </w:p>
          <w:p>
            <w:pPr>
              <w:spacing w:line="360" w:lineRule="auto"/>
              <w:rPr>
                <w:rFonts w:ascii="宋体" w:hAnsi="宋体" w:cs="宋体"/>
                <w:bCs/>
                <w:szCs w:val="21"/>
              </w:rPr>
            </w:pPr>
            <w:r>
              <w:rPr>
                <w:rFonts w:hint="eastAsia" w:ascii="宋体" w:hAnsi="宋体" w:cs="宋体"/>
                <w:bCs/>
                <w:szCs w:val="21"/>
              </w:rPr>
              <w:t>EO8.2</w:t>
            </w:r>
          </w:p>
          <w:p>
            <w:pPr>
              <w:spacing w:line="360" w:lineRule="auto"/>
              <w:rPr>
                <w:rFonts w:ascii="宋体" w:hAnsi="宋体" w:cs="宋体"/>
                <w:szCs w:val="21"/>
              </w:rPr>
            </w:pPr>
          </w:p>
        </w:tc>
        <w:tc>
          <w:tcPr>
            <w:tcW w:w="10237" w:type="dxa"/>
          </w:tcPr>
          <w:p>
            <w:pPr>
              <w:spacing w:line="360" w:lineRule="auto"/>
              <w:rPr>
                <w:rFonts w:ascii="宋体" w:hAnsi="宋体" w:cs="宋体"/>
                <w:szCs w:val="21"/>
              </w:rPr>
            </w:pPr>
            <w:r>
              <w:rPr>
                <w:rFonts w:hint="eastAsia" w:ascii="宋体" w:hAnsi="宋体" w:cs="宋体"/>
                <w:szCs w:val="21"/>
              </w:rPr>
              <w:t>质量技术部按照策划的《应急准备和响应控制程序程序》《火灾应急预案》等，明确了相应的运行准则。</w:t>
            </w:r>
          </w:p>
          <w:p>
            <w:pPr>
              <w:spacing w:line="360" w:lineRule="auto"/>
              <w:rPr>
                <w:rFonts w:ascii="宋体" w:hAnsi="宋体" w:cs="宋体"/>
                <w:szCs w:val="21"/>
              </w:rPr>
            </w:pPr>
            <w:r>
              <w:rPr>
                <w:rFonts w:hint="eastAsia" w:ascii="宋体" w:hAnsi="宋体" w:cs="宋体"/>
                <w:szCs w:val="21"/>
              </w:rPr>
              <w:t>技术服务、研发过程中加强用电安全，防止触电事故和火灾事故的发生，安装了漏电保护器。</w:t>
            </w:r>
          </w:p>
          <w:p>
            <w:pPr>
              <w:spacing w:line="360" w:lineRule="auto"/>
              <w:rPr>
                <w:rFonts w:ascii="宋体" w:hAnsi="宋体" w:cs="宋体"/>
                <w:szCs w:val="21"/>
              </w:rPr>
            </w:pPr>
            <w:r>
              <w:rPr>
                <w:rFonts w:hint="eastAsia" w:ascii="宋体" w:hAnsi="宋体" w:cs="宋体"/>
                <w:szCs w:val="21"/>
              </w:rPr>
              <w:t>提供现场查灭火器在有效期内，实验室有“禁止吸烟”，“小心触电” 等环保、安全警示标识。</w:t>
            </w:r>
          </w:p>
          <w:p>
            <w:pPr>
              <w:spacing w:line="360" w:lineRule="auto"/>
              <w:rPr>
                <w:rFonts w:ascii="宋体" w:hAnsi="宋体" w:cs="宋体"/>
                <w:szCs w:val="21"/>
              </w:rPr>
            </w:pPr>
            <w:r>
              <w:rPr>
                <w:rFonts w:hint="eastAsia" w:ascii="宋体" w:hAnsi="宋体" w:cs="宋体"/>
                <w:szCs w:val="21"/>
              </w:rPr>
              <w:t>配有急救药箱，箱内有创可贴、消毒酒精、碘伏、棉棒等。</w:t>
            </w:r>
          </w:p>
          <w:p>
            <w:pPr>
              <w:spacing w:line="360" w:lineRule="auto"/>
              <w:rPr>
                <w:rFonts w:ascii="宋体" w:hAnsi="宋体" w:cs="宋体"/>
                <w:szCs w:val="21"/>
              </w:rPr>
            </w:pPr>
            <w:r>
              <w:rPr>
                <w:rFonts w:hint="eastAsia" w:ascii="宋体" w:hAnsi="宋体" w:cs="宋体"/>
                <w:szCs w:val="21"/>
              </w:rPr>
              <w:t>查2019.8.7日参加了综合办公室组织的火灾预案演练，提供了相关记录。</w:t>
            </w:r>
          </w:p>
          <w:p>
            <w:pPr>
              <w:spacing w:line="360" w:lineRule="auto"/>
              <w:ind w:firstLine="420" w:firstLineChars="200"/>
              <w:rPr>
                <w:rFonts w:ascii="宋体" w:hAnsi="宋体" w:cs="宋体"/>
                <w:szCs w:val="21"/>
              </w:rPr>
            </w:pPr>
            <w:r>
              <w:rPr>
                <w:rFonts w:hint="eastAsia" w:ascii="宋体" w:hAnsi="宋体" w:cs="宋体"/>
                <w:szCs w:val="21"/>
              </w:rPr>
              <w:t>自体系运行以来未出现应急事故情况。</w:t>
            </w:r>
          </w:p>
        </w:tc>
        <w:tc>
          <w:tcPr>
            <w:tcW w:w="1352" w:type="dxa"/>
          </w:tcPr>
          <w:p>
            <w:pPr>
              <w:rPr>
                <w:rFonts w:ascii="楷体" w:hAnsi="楷体" w:eastAsia="楷体"/>
                <w:sz w:val="24"/>
                <w:szCs w:val="24"/>
              </w:rPr>
            </w:pPr>
          </w:p>
        </w:tc>
      </w:tr>
    </w:tbl>
    <w:p>
      <w:pPr>
        <w:rPr>
          <w:rFonts w:ascii="楷体" w:hAnsi="楷体" w:eastAsia="楷体"/>
        </w:rPr>
      </w:pPr>
      <w:r>
        <w:rPr>
          <w:rFonts w:ascii="楷体" w:hAnsi="楷体" w:eastAsia="楷体"/>
        </w:rPr>
        <w:ptab w:relativeTo="margin" w:alignment="center" w:leader="none"/>
      </w:r>
    </w:p>
    <w:p>
      <w:pPr>
        <w:rPr>
          <w:rFonts w:ascii="楷体" w:hAnsi="楷体" w:eastAsia="楷体"/>
        </w:rPr>
      </w:pPr>
    </w:p>
    <w:p>
      <w:pPr>
        <w:rPr>
          <w:rFonts w:ascii="楷体" w:hAnsi="楷体" w:eastAsia="楷体"/>
        </w:rPr>
      </w:pPr>
    </w:p>
    <w:p>
      <w:pPr>
        <w:pStyle w:val="8"/>
        <w:rPr>
          <w:rFonts w:ascii="楷体" w:hAnsi="楷体" w:eastAsia="楷体"/>
        </w:rPr>
      </w:pPr>
      <w:r>
        <w:rPr>
          <w:rFonts w:hint="eastAsia" w:ascii="楷体" w:hAnsi="楷体" w:eastAsia="楷体"/>
        </w:rPr>
        <w:t>说明：不符合标注N</w:t>
      </w:r>
    </w:p>
    <w:sectPr>
      <w:headerReference r:id="rId3" w:type="default"/>
      <w:footerReference r:id="rId4" w:type="default"/>
      <w:pgSz w:w="16838" w:h="11906" w:orient="landscape"/>
      <w:pgMar w:top="1440" w:right="1080" w:bottom="1440" w:left="108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仿宋_GB2312">
    <w:altName w:val="仿宋"/>
    <w:panose1 w:val="00000000000000000000"/>
    <w:charset w:val="86"/>
    <w:family w:val="modern"/>
    <w:pitch w:val="default"/>
    <w:sig w:usb0="00000000" w:usb1="00000000" w:usb2="00000000" w:usb3="00000000" w:csb0="00040000" w:csb1="00000000"/>
  </w:font>
  <w:font w:name="楷体">
    <w:panose1 w:val="02010609060101010101"/>
    <w:charset w:val="86"/>
    <w:family w:val="modern"/>
    <w:pitch w:val="default"/>
    <w:sig w:usb0="800002BF" w:usb1="38CF7CFA" w:usb2="00000016" w:usb3="00000000" w:csb0="00040001" w:csb1="00000000"/>
  </w:font>
  <w:font w:name="新宋体">
    <w:panose1 w:val="02010609030101010101"/>
    <w:charset w:val="86"/>
    <w:family w:val="modern"/>
    <w:pitch w:val="default"/>
    <w:sig w:usb0="00000283" w:usb1="288F0000" w:usb2="00000006" w:usb3="00000000" w:csb0="00040001" w:csb1="00000000"/>
  </w:font>
  <w:font w:name="仿宋">
    <w:panose1 w:val="02010609060101010101"/>
    <w:charset w:val="86"/>
    <w:family w:val="auto"/>
    <w:pitch w:val="default"/>
    <w:sig w:usb0="800002BF" w:usb1="38CF7CFA"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724900"/>
    </w:sdtPr>
    <w:sdtContent>
      <w:sdt>
        <w:sdtPr>
          <w:id w:val="171357217"/>
        </w:sdtPr>
        <w:sdtContent>
          <w:p>
            <w:pPr>
              <w:pStyle w:val="8"/>
              <w:jc w:val="center"/>
            </w:pPr>
            <w:r>
              <w:rPr>
                <w:lang w:val="zh-CN"/>
              </w:rPr>
              <w:t xml:space="preserve"> </w:t>
            </w:r>
            <w:r>
              <w:rPr>
                <w:b/>
                <w:sz w:val="24"/>
                <w:szCs w:val="24"/>
              </w:rPr>
              <w:fldChar w:fldCharType="begin"/>
            </w:r>
            <w:r>
              <w:rPr>
                <w:b/>
              </w:rPr>
              <w:instrText xml:space="preserve">PAGE</w:instrText>
            </w:r>
            <w:r>
              <w:rPr>
                <w:b/>
                <w:sz w:val="24"/>
                <w:szCs w:val="24"/>
              </w:rPr>
              <w:fldChar w:fldCharType="separate"/>
            </w:r>
            <w:r>
              <w:rPr>
                <w:b/>
              </w:rPr>
              <w:t>23</w:t>
            </w:r>
            <w:r>
              <w:rPr>
                <w:b/>
                <w:sz w:val="24"/>
                <w:szCs w:val="24"/>
              </w:rPr>
              <w:fldChar w:fldCharType="end"/>
            </w:r>
            <w:r>
              <w:rPr>
                <w:lang w:val="zh-CN"/>
              </w:rPr>
              <w:t xml:space="preserve"> / </w:t>
            </w:r>
            <w:r>
              <w:rPr>
                <w:b/>
                <w:sz w:val="24"/>
                <w:szCs w:val="24"/>
              </w:rPr>
              <w:fldChar w:fldCharType="begin"/>
            </w:r>
            <w:r>
              <w:rPr>
                <w:b/>
              </w:rPr>
              <w:instrText xml:space="preserve">NUMPAGES</w:instrText>
            </w:r>
            <w:r>
              <w:rPr>
                <w:b/>
                <w:sz w:val="24"/>
                <w:szCs w:val="24"/>
              </w:rPr>
              <w:fldChar w:fldCharType="separate"/>
            </w:r>
            <w:r>
              <w:rPr>
                <w:b/>
              </w:rPr>
              <w:t>23</w:t>
            </w:r>
            <w:r>
              <w:rPr>
                <w:b/>
                <w:sz w:val="24"/>
                <w:szCs w:val="24"/>
              </w:rPr>
              <w:fldChar w:fldCharType="end"/>
            </w:r>
          </w:p>
        </w:sdtContent>
      </w:sdt>
    </w:sdtContent>
  </w:sdt>
  <w:p>
    <w:pPr>
      <w:pStyle w:val="8"/>
    </w:pP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9"/>
      <w:pBdr>
        <w:bottom w:val="none" w:color="auto" w:sz="0" w:space="0"/>
      </w:pBdr>
      <w:tabs>
        <w:tab w:val="left" w:pos="8910"/>
        <w:tab w:val="left" w:pos="9142"/>
        <w:tab w:val="clear" w:pos="4153"/>
      </w:tabs>
      <w:spacing w:line="320" w:lineRule="exact"/>
      <w:ind w:left="-86" w:leftChars="-41" w:firstLine="810" w:firstLineChars="450"/>
      <w:jc w:val="left"/>
      <w:rPr>
        <w:rStyle w:val="17"/>
        <w:rFonts w:hint="default"/>
      </w:rPr>
    </w:pPr>
    <w:r>
      <w:drawing>
        <wp:anchor distT="0" distB="0" distL="114300" distR="114300" simplePos="0" relativeHeight="251660288" behindDoc="1" locked="0" layoutInCell="1" allowOverlap="1">
          <wp:simplePos x="0" y="0"/>
          <wp:positionH relativeFrom="column">
            <wp:posOffset>-635</wp:posOffset>
          </wp:positionH>
          <wp:positionV relativeFrom="paragraph">
            <wp:posOffset>4445</wp:posOffset>
          </wp:positionV>
          <wp:extent cx="410210" cy="433070"/>
          <wp:effectExtent l="19050" t="0" r="8890" b="0"/>
          <wp:wrapTight wrapText="bothSides">
            <wp:wrapPolygon>
              <wp:start x="4012" y="0"/>
              <wp:lineTo x="0" y="3801"/>
              <wp:lineTo x="-1003" y="15202"/>
              <wp:lineTo x="5015" y="20903"/>
              <wp:lineTo x="6019" y="20903"/>
              <wp:lineTo x="16050" y="20903"/>
              <wp:lineTo x="17053" y="20903"/>
              <wp:lineTo x="21065" y="16152"/>
              <wp:lineTo x="21065" y="15202"/>
              <wp:lineTo x="22068" y="9501"/>
              <wp:lineTo x="20062" y="3801"/>
              <wp:lineTo x="17053" y="0"/>
              <wp:lineTo x="4012" y="0"/>
            </wp:wrapPolygon>
          </wp:wrapTight>
          <wp:docPr id="1"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24"/>
                  <pic:cNvPicPr>
                    <a:picLocks noChangeAspect="1" noChangeArrowheads="1"/>
                  </pic:cNvPicPr>
                </pic:nvPicPr>
                <pic:blipFill>
                  <a:blip r:embed="rId1"/>
                  <a:srcRect/>
                  <a:stretch>
                    <a:fillRect/>
                  </a:stretch>
                </pic:blipFill>
                <pic:spPr>
                  <a:xfrm>
                    <a:off x="0" y="0"/>
                    <a:ext cx="410210" cy="433070"/>
                  </a:xfrm>
                  <a:prstGeom prst="rect">
                    <a:avLst/>
                  </a:prstGeom>
                  <a:noFill/>
                  <a:ln w="9525">
                    <a:noFill/>
                    <a:miter lim="800000"/>
                    <a:headEnd/>
                    <a:tailEnd/>
                  </a:ln>
                </pic:spPr>
              </pic:pic>
            </a:graphicData>
          </a:graphic>
        </wp:anchor>
      </w:drawing>
    </w:r>
    <w:r>
      <w:rPr>
        <w:rStyle w:val="17"/>
        <w:rFonts w:hint="default"/>
      </w:rPr>
      <w:t>北京国标联合认证有限公司</w:t>
    </w:r>
    <w:r>
      <w:rPr>
        <w:rStyle w:val="17"/>
        <w:rFonts w:hint="default"/>
      </w:rPr>
      <w:tab/>
    </w:r>
    <w:r>
      <w:rPr>
        <w:rStyle w:val="17"/>
        <w:rFonts w:hint="default"/>
      </w:rPr>
      <w:tab/>
    </w:r>
    <w:r>
      <w:rPr>
        <w:rStyle w:val="17"/>
        <w:rFonts w:hint="default"/>
      </w:rPr>
      <w:tab/>
    </w:r>
  </w:p>
  <w:p>
    <w:pPr>
      <w:pStyle w:val="9"/>
      <w:pBdr>
        <w:bottom w:val="none" w:color="auto" w:sz="0" w:space="1"/>
      </w:pBdr>
      <w:spacing w:line="320" w:lineRule="exact"/>
      <w:jc w:val="left"/>
    </w:pPr>
    <w:r>
      <w:pict>
        <v:shape id="文本框 1" o:spid="_x0000_s3073" o:spt="202" type="#_x0000_t202" style="position:absolute;left:0pt;margin-left:554.75pt;margin-top:2.2pt;height:20.2pt;width:172pt;z-index:251661312;mso-width-relative:page;mso-height-relative:page;" stroked="f" coordsize="21600,21600" o:gfxdata="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">
          <v:path/>
          <v:fill focussize="0,0"/>
          <v:stroke on="f" joinstyle="miter"/>
          <v:imagedata o:title=""/>
          <o:lock v:ext="edit"/>
          <v:textbox>
            <w:txbxContent>
              <w:p>
                <w:r>
                  <w:rPr>
                    <w:rFonts w:hint="eastAsia"/>
                    <w:sz w:val="18"/>
                    <w:szCs w:val="18"/>
                  </w:rPr>
                  <w:t>ISC-B-II-1</w:t>
                </w:r>
                <w:r>
                  <w:rPr>
                    <w:sz w:val="18"/>
                    <w:szCs w:val="18"/>
                  </w:rPr>
                  <w:t>2</w:t>
                </w:r>
                <w:r>
                  <w:rPr>
                    <w:rFonts w:hint="eastAsia"/>
                    <w:sz w:val="18"/>
                    <w:szCs w:val="18"/>
                  </w:rPr>
                  <w:t xml:space="preserve"> 管理体系审核记录表(03版)</w:t>
                </w:r>
              </w:p>
              <w:p/>
            </w:txbxContent>
          </v:textbox>
        </v:shape>
      </w:pict>
    </w:r>
    <w:r>
      <w:rPr>
        <w:rStyle w:val="17"/>
        <w:rFonts w:hint="default"/>
      </w:rPr>
      <w:t xml:space="preserve">        </w:t>
    </w:r>
    <w:r>
      <w:rPr>
        <w:rStyle w:val="17"/>
        <w:rFonts w:hint="default"/>
        <w:w w:val="90"/>
      </w:rPr>
      <w:t>Beijing International Standard united Certification Co.,Ltd.</w:t>
    </w:r>
    <w:r>
      <w:rPr>
        <w:rStyle w:val="17"/>
        <w:rFonts w:hint="default"/>
        <w:w w:val="90"/>
        <w:szCs w:val="21"/>
      </w:rPr>
      <w:t xml:space="preserve">  </w:t>
    </w:r>
    <w:r>
      <w:rPr>
        <w:rStyle w:val="17"/>
        <w:rFonts w:hint="default"/>
        <w:w w:val="90"/>
        <w:sz w:val="20"/>
      </w:rPr>
      <w:t xml:space="preserve"> </w:t>
    </w:r>
    <w:r>
      <w:rPr>
        <w:rStyle w:val="17"/>
        <w:rFonts w:hint="default"/>
        <w:w w:val="90"/>
      </w:rPr>
      <w:t xml:space="preserve">                   </w:t>
    </w:r>
  </w:p>
  <w:p>
    <w:pPr>
      <w:pStyle w:val="9"/>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BE5C614A"/>
    <w:multiLevelType w:val="singleLevel"/>
    <w:tmpl w:val="BE5C614A"/>
    <w:lvl w:ilvl="0" w:tentative="0">
      <w:start w:val="1"/>
      <w:numFmt w:val="decimal"/>
      <w:lvlText w:val="%1)"/>
      <w:lvlJc w:val="left"/>
      <w:pPr>
        <w:ind w:left="425" w:hanging="425"/>
      </w:pPr>
      <w:rPr>
        <w:rFonts w:hint="default"/>
      </w:rPr>
    </w:lvl>
  </w:abstractNum>
  <w:abstractNum w:abstractNumId="1">
    <w:nsid w:val="2A5B39DE"/>
    <w:multiLevelType w:val="singleLevel"/>
    <w:tmpl w:val="2A5B39DE"/>
    <w:lvl w:ilvl="0" w:tentative="0">
      <w:start w:val="1"/>
      <w:numFmt w:val="decimal"/>
      <w:lvlText w:val="%1)"/>
      <w:lvlJc w:val="left"/>
      <w:pPr>
        <w:tabs>
          <w:tab w:val="left" w:pos="312"/>
        </w:tabs>
      </w:pPr>
    </w:lvl>
  </w:abstractNum>
  <w:abstractNum w:abstractNumId="2">
    <w:nsid w:val="570F0700"/>
    <w:multiLevelType w:val="singleLevel"/>
    <w:tmpl w:val="570F0700"/>
    <w:lvl w:ilvl="0" w:tentative="0">
      <w:start w:val="1"/>
      <w:numFmt w:val="decimal"/>
      <w:suff w:val="nothing"/>
      <w:lvlText w:val="%1）"/>
      <w:lvlJc w:val="left"/>
    </w:lvl>
  </w:abstractNum>
  <w:abstractNum w:abstractNumId="3">
    <w:nsid w:val="5A6FD64E"/>
    <w:multiLevelType w:val="singleLevel"/>
    <w:tmpl w:val="5A6FD64E"/>
    <w:lvl w:ilvl="0" w:tentative="0">
      <w:start w:val="1"/>
      <w:numFmt w:val="decimal"/>
      <w:suff w:val="nothing"/>
      <w:lvlText w:val="%1、"/>
      <w:lvlJc w:val="left"/>
      <w:rPr>
        <w:rFonts w:cs="Times New Roman"/>
      </w:rPr>
    </w:lvl>
  </w:abstractNum>
  <w:abstractNum w:abstractNumId="4">
    <w:nsid w:val="69E56B3E"/>
    <w:multiLevelType w:val="singleLevel"/>
    <w:tmpl w:val="69E56B3E"/>
    <w:lvl w:ilvl="0" w:tentative="0">
      <w:start w:val="1"/>
      <w:numFmt w:val="decimal"/>
      <w:lvlText w:val="%1."/>
      <w:lvlJc w:val="left"/>
      <w:pPr>
        <w:tabs>
          <w:tab w:val="left" w:pos="312"/>
        </w:tabs>
      </w:pPr>
    </w:lvl>
  </w:abstractNum>
  <w:num w:numId="1">
    <w:abstractNumId w:val="0"/>
  </w:num>
  <w:num w:numId="2">
    <w:abstractNumId w:val="2"/>
  </w:num>
  <w:num w:numId="3">
    <w:abstractNumId w:val="1"/>
  </w:num>
  <w:num w:numId="4">
    <w:abstractNumId w:val="3"/>
  </w:num>
  <w:num w:numId="5">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val="1"/>
  <w:bordersDoNotSurroundFooter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3"/>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rsids>
    <w:rsidRoot w:val="009973B4"/>
    <w:rsid w:val="000214B6"/>
    <w:rsid w:val="00022B3B"/>
    <w:rsid w:val="0003373A"/>
    <w:rsid w:val="00047171"/>
    <w:rsid w:val="0004784D"/>
    <w:rsid w:val="0005199E"/>
    <w:rsid w:val="00054FDA"/>
    <w:rsid w:val="0005697E"/>
    <w:rsid w:val="00064733"/>
    <w:rsid w:val="000666AB"/>
    <w:rsid w:val="00067211"/>
    <w:rsid w:val="00077664"/>
    <w:rsid w:val="000849D2"/>
    <w:rsid w:val="00093496"/>
    <w:rsid w:val="000A5E44"/>
    <w:rsid w:val="000B1394"/>
    <w:rsid w:val="000B2962"/>
    <w:rsid w:val="000B40BD"/>
    <w:rsid w:val="000C123B"/>
    <w:rsid w:val="000D108C"/>
    <w:rsid w:val="000D5E06"/>
    <w:rsid w:val="000E2B69"/>
    <w:rsid w:val="000E4607"/>
    <w:rsid w:val="000E79D8"/>
    <w:rsid w:val="000F35F1"/>
    <w:rsid w:val="001037D5"/>
    <w:rsid w:val="001105B5"/>
    <w:rsid w:val="00112DDC"/>
    <w:rsid w:val="00124422"/>
    <w:rsid w:val="00130839"/>
    <w:rsid w:val="001421D7"/>
    <w:rsid w:val="00155DE4"/>
    <w:rsid w:val="001657FA"/>
    <w:rsid w:val="001701AA"/>
    <w:rsid w:val="00176F07"/>
    <w:rsid w:val="001816F4"/>
    <w:rsid w:val="001858CC"/>
    <w:rsid w:val="001953AA"/>
    <w:rsid w:val="001965EC"/>
    <w:rsid w:val="001A2C67"/>
    <w:rsid w:val="001A2D7F"/>
    <w:rsid w:val="001A3DF8"/>
    <w:rsid w:val="001A4705"/>
    <w:rsid w:val="001C414C"/>
    <w:rsid w:val="001E2378"/>
    <w:rsid w:val="001F5CB1"/>
    <w:rsid w:val="00210A0C"/>
    <w:rsid w:val="00212CA6"/>
    <w:rsid w:val="00216789"/>
    <w:rsid w:val="002178DD"/>
    <w:rsid w:val="00222532"/>
    <w:rsid w:val="00224FEC"/>
    <w:rsid w:val="00237445"/>
    <w:rsid w:val="00244D31"/>
    <w:rsid w:val="00245C6E"/>
    <w:rsid w:val="00250259"/>
    <w:rsid w:val="00252A58"/>
    <w:rsid w:val="002603B9"/>
    <w:rsid w:val="00266D1E"/>
    <w:rsid w:val="0027207F"/>
    <w:rsid w:val="0029508B"/>
    <w:rsid w:val="002A0E6E"/>
    <w:rsid w:val="002A16D5"/>
    <w:rsid w:val="002B3D51"/>
    <w:rsid w:val="002B5942"/>
    <w:rsid w:val="002B698C"/>
    <w:rsid w:val="002C1094"/>
    <w:rsid w:val="002C221B"/>
    <w:rsid w:val="002C3E0D"/>
    <w:rsid w:val="002D0595"/>
    <w:rsid w:val="002D41FB"/>
    <w:rsid w:val="002E1E1D"/>
    <w:rsid w:val="00305AF4"/>
    <w:rsid w:val="00305CB7"/>
    <w:rsid w:val="00305F8E"/>
    <w:rsid w:val="00330719"/>
    <w:rsid w:val="00334C7D"/>
    <w:rsid w:val="00337922"/>
    <w:rsid w:val="00337B1A"/>
    <w:rsid w:val="00340867"/>
    <w:rsid w:val="00342857"/>
    <w:rsid w:val="00343742"/>
    <w:rsid w:val="003471D1"/>
    <w:rsid w:val="003627B6"/>
    <w:rsid w:val="00362BE6"/>
    <w:rsid w:val="00362ED9"/>
    <w:rsid w:val="003708D5"/>
    <w:rsid w:val="003712C7"/>
    <w:rsid w:val="003715B9"/>
    <w:rsid w:val="00374046"/>
    <w:rsid w:val="00376A47"/>
    <w:rsid w:val="00380837"/>
    <w:rsid w:val="00382136"/>
    <w:rsid w:val="003836CA"/>
    <w:rsid w:val="00386A98"/>
    <w:rsid w:val="003A7DC8"/>
    <w:rsid w:val="003B10EF"/>
    <w:rsid w:val="003B2BCD"/>
    <w:rsid w:val="003B69F5"/>
    <w:rsid w:val="003C7F1E"/>
    <w:rsid w:val="003D6BE3"/>
    <w:rsid w:val="003F20A5"/>
    <w:rsid w:val="003F3796"/>
    <w:rsid w:val="003F5ED7"/>
    <w:rsid w:val="004012B5"/>
    <w:rsid w:val="00403752"/>
    <w:rsid w:val="00405D5F"/>
    <w:rsid w:val="00407008"/>
    <w:rsid w:val="00410914"/>
    <w:rsid w:val="00422E32"/>
    <w:rsid w:val="00430003"/>
    <w:rsid w:val="004304FA"/>
    <w:rsid w:val="0043494E"/>
    <w:rsid w:val="00441C5F"/>
    <w:rsid w:val="00451D10"/>
    <w:rsid w:val="00465FE1"/>
    <w:rsid w:val="00485574"/>
    <w:rsid w:val="00491735"/>
    <w:rsid w:val="0049488A"/>
    <w:rsid w:val="004A39E1"/>
    <w:rsid w:val="004A4776"/>
    <w:rsid w:val="004B0102"/>
    <w:rsid w:val="004B217F"/>
    <w:rsid w:val="004C027B"/>
    <w:rsid w:val="004C07FE"/>
    <w:rsid w:val="004D0624"/>
    <w:rsid w:val="004D1394"/>
    <w:rsid w:val="004E0DBF"/>
    <w:rsid w:val="004E5D23"/>
    <w:rsid w:val="004F008A"/>
    <w:rsid w:val="004F12EB"/>
    <w:rsid w:val="004F4590"/>
    <w:rsid w:val="00513583"/>
    <w:rsid w:val="005137A3"/>
    <w:rsid w:val="00517783"/>
    <w:rsid w:val="00521CF0"/>
    <w:rsid w:val="005276EC"/>
    <w:rsid w:val="00527995"/>
    <w:rsid w:val="00527E23"/>
    <w:rsid w:val="00536930"/>
    <w:rsid w:val="00564E53"/>
    <w:rsid w:val="00564FC3"/>
    <w:rsid w:val="00574EE4"/>
    <w:rsid w:val="00583277"/>
    <w:rsid w:val="00587F11"/>
    <w:rsid w:val="005919A2"/>
    <w:rsid w:val="00592C3E"/>
    <w:rsid w:val="005A000F"/>
    <w:rsid w:val="005A5A31"/>
    <w:rsid w:val="005B01D8"/>
    <w:rsid w:val="005B6888"/>
    <w:rsid w:val="005C27D9"/>
    <w:rsid w:val="005D4C40"/>
    <w:rsid w:val="005E3B26"/>
    <w:rsid w:val="005E794C"/>
    <w:rsid w:val="005F3F2C"/>
    <w:rsid w:val="005F4CDA"/>
    <w:rsid w:val="005F6C65"/>
    <w:rsid w:val="005F7148"/>
    <w:rsid w:val="00600F02"/>
    <w:rsid w:val="0060444D"/>
    <w:rsid w:val="00612015"/>
    <w:rsid w:val="006148DF"/>
    <w:rsid w:val="006233A5"/>
    <w:rsid w:val="006302F5"/>
    <w:rsid w:val="006379CB"/>
    <w:rsid w:val="00642776"/>
    <w:rsid w:val="00644FE2"/>
    <w:rsid w:val="006457AD"/>
    <w:rsid w:val="00645FB8"/>
    <w:rsid w:val="00647894"/>
    <w:rsid w:val="00651986"/>
    <w:rsid w:val="006545E8"/>
    <w:rsid w:val="00665980"/>
    <w:rsid w:val="0067640C"/>
    <w:rsid w:val="00686B64"/>
    <w:rsid w:val="00695256"/>
    <w:rsid w:val="00695303"/>
    <w:rsid w:val="00695570"/>
    <w:rsid w:val="00696AF1"/>
    <w:rsid w:val="006A0FEF"/>
    <w:rsid w:val="006A3B31"/>
    <w:rsid w:val="006A68F3"/>
    <w:rsid w:val="006A71E1"/>
    <w:rsid w:val="006B4116"/>
    <w:rsid w:val="006B4127"/>
    <w:rsid w:val="006C0D0C"/>
    <w:rsid w:val="006C40B9"/>
    <w:rsid w:val="006D5592"/>
    <w:rsid w:val="006E678B"/>
    <w:rsid w:val="006F6902"/>
    <w:rsid w:val="0070133F"/>
    <w:rsid w:val="0070495A"/>
    <w:rsid w:val="00711F4C"/>
    <w:rsid w:val="0071239D"/>
    <w:rsid w:val="007170AA"/>
    <w:rsid w:val="00722762"/>
    <w:rsid w:val="00722A8E"/>
    <w:rsid w:val="0072354E"/>
    <w:rsid w:val="00732A46"/>
    <w:rsid w:val="00732B66"/>
    <w:rsid w:val="00734C50"/>
    <w:rsid w:val="00737195"/>
    <w:rsid w:val="007406DE"/>
    <w:rsid w:val="00742AEF"/>
    <w:rsid w:val="00743A75"/>
    <w:rsid w:val="00743E79"/>
    <w:rsid w:val="00751C37"/>
    <w:rsid w:val="00762DD4"/>
    <w:rsid w:val="007757F3"/>
    <w:rsid w:val="007815DC"/>
    <w:rsid w:val="00782659"/>
    <w:rsid w:val="007924AF"/>
    <w:rsid w:val="007A47FB"/>
    <w:rsid w:val="007A69EB"/>
    <w:rsid w:val="007B106B"/>
    <w:rsid w:val="007B275D"/>
    <w:rsid w:val="007E6AEB"/>
    <w:rsid w:val="007F01EC"/>
    <w:rsid w:val="007F0D4C"/>
    <w:rsid w:val="007F1C66"/>
    <w:rsid w:val="007F7DF2"/>
    <w:rsid w:val="008027A4"/>
    <w:rsid w:val="008062F9"/>
    <w:rsid w:val="008079FA"/>
    <w:rsid w:val="00851943"/>
    <w:rsid w:val="0086271A"/>
    <w:rsid w:val="00864902"/>
    <w:rsid w:val="00867B86"/>
    <w:rsid w:val="00877B85"/>
    <w:rsid w:val="00881B7A"/>
    <w:rsid w:val="008973EE"/>
    <w:rsid w:val="008A7B29"/>
    <w:rsid w:val="008B30A0"/>
    <w:rsid w:val="008B5618"/>
    <w:rsid w:val="008D089D"/>
    <w:rsid w:val="008D2567"/>
    <w:rsid w:val="008F0B04"/>
    <w:rsid w:val="0090649C"/>
    <w:rsid w:val="009078E2"/>
    <w:rsid w:val="009221F6"/>
    <w:rsid w:val="00930694"/>
    <w:rsid w:val="0093521F"/>
    <w:rsid w:val="00945677"/>
    <w:rsid w:val="00962F78"/>
    <w:rsid w:val="00964A29"/>
    <w:rsid w:val="00965048"/>
    <w:rsid w:val="0096609F"/>
    <w:rsid w:val="00971600"/>
    <w:rsid w:val="009973B4"/>
    <w:rsid w:val="009A000B"/>
    <w:rsid w:val="009A30D3"/>
    <w:rsid w:val="009A3DD9"/>
    <w:rsid w:val="009A4562"/>
    <w:rsid w:val="009A4A4C"/>
    <w:rsid w:val="009B6639"/>
    <w:rsid w:val="009B6CB4"/>
    <w:rsid w:val="009B7388"/>
    <w:rsid w:val="009E02D5"/>
    <w:rsid w:val="009E30DA"/>
    <w:rsid w:val="009F7EED"/>
    <w:rsid w:val="00A138EC"/>
    <w:rsid w:val="00A303E7"/>
    <w:rsid w:val="00A3050C"/>
    <w:rsid w:val="00A321CB"/>
    <w:rsid w:val="00A35FBB"/>
    <w:rsid w:val="00A54E47"/>
    <w:rsid w:val="00A562B1"/>
    <w:rsid w:val="00A62FD9"/>
    <w:rsid w:val="00A741A1"/>
    <w:rsid w:val="00A77C65"/>
    <w:rsid w:val="00A801DE"/>
    <w:rsid w:val="00A80B3F"/>
    <w:rsid w:val="00A8159C"/>
    <w:rsid w:val="00A83562"/>
    <w:rsid w:val="00A86A9D"/>
    <w:rsid w:val="00A90A22"/>
    <w:rsid w:val="00A918ED"/>
    <w:rsid w:val="00A93A32"/>
    <w:rsid w:val="00AA2E7E"/>
    <w:rsid w:val="00AB1BBD"/>
    <w:rsid w:val="00AB41FC"/>
    <w:rsid w:val="00AB7D2F"/>
    <w:rsid w:val="00AC0FC6"/>
    <w:rsid w:val="00AF0AAB"/>
    <w:rsid w:val="00B04731"/>
    <w:rsid w:val="00B0685B"/>
    <w:rsid w:val="00B13BC7"/>
    <w:rsid w:val="00B33301"/>
    <w:rsid w:val="00B35FC9"/>
    <w:rsid w:val="00B40603"/>
    <w:rsid w:val="00B51039"/>
    <w:rsid w:val="00B66466"/>
    <w:rsid w:val="00B7232D"/>
    <w:rsid w:val="00B74396"/>
    <w:rsid w:val="00B75693"/>
    <w:rsid w:val="00B8202D"/>
    <w:rsid w:val="00B94ED3"/>
    <w:rsid w:val="00B9599B"/>
    <w:rsid w:val="00B95F69"/>
    <w:rsid w:val="00BA46EC"/>
    <w:rsid w:val="00BC2015"/>
    <w:rsid w:val="00BC69E5"/>
    <w:rsid w:val="00BD011E"/>
    <w:rsid w:val="00BD1BD9"/>
    <w:rsid w:val="00BF3FAF"/>
    <w:rsid w:val="00BF597E"/>
    <w:rsid w:val="00BF7151"/>
    <w:rsid w:val="00C078CC"/>
    <w:rsid w:val="00C1322F"/>
    <w:rsid w:val="00C2374F"/>
    <w:rsid w:val="00C31C73"/>
    <w:rsid w:val="00C32115"/>
    <w:rsid w:val="00C32D23"/>
    <w:rsid w:val="00C37415"/>
    <w:rsid w:val="00C51A36"/>
    <w:rsid w:val="00C52ACE"/>
    <w:rsid w:val="00C548BE"/>
    <w:rsid w:val="00C55228"/>
    <w:rsid w:val="00C57F13"/>
    <w:rsid w:val="00C62BD1"/>
    <w:rsid w:val="00C67E19"/>
    <w:rsid w:val="00C67E47"/>
    <w:rsid w:val="00C71E85"/>
    <w:rsid w:val="00C75651"/>
    <w:rsid w:val="00C86F9B"/>
    <w:rsid w:val="00C9158B"/>
    <w:rsid w:val="00C93DAB"/>
    <w:rsid w:val="00C9448F"/>
    <w:rsid w:val="00CB0BB0"/>
    <w:rsid w:val="00CB260B"/>
    <w:rsid w:val="00CB3648"/>
    <w:rsid w:val="00CC7261"/>
    <w:rsid w:val="00CD5516"/>
    <w:rsid w:val="00CE084D"/>
    <w:rsid w:val="00CE315A"/>
    <w:rsid w:val="00CE7BE1"/>
    <w:rsid w:val="00CF1726"/>
    <w:rsid w:val="00CF34E3"/>
    <w:rsid w:val="00CF6C5C"/>
    <w:rsid w:val="00D01731"/>
    <w:rsid w:val="00D0514D"/>
    <w:rsid w:val="00D06F59"/>
    <w:rsid w:val="00D12B63"/>
    <w:rsid w:val="00D22025"/>
    <w:rsid w:val="00D24D0E"/>
    <w:rsid w:val="00D257EB"/>
    <w:rsid w:val="00D3392D"/>
    <w:rsid w:val="00D33B2E"/>
    <w:rsid w:val="00D35291"/>
    <w:rsid w:val="00D35CC0"/>
    <w:rsid w:val="00D52340"/>
    <w:rsid w:val="00D546BA"/>
    <w:rsid w:val="00D54F54"/>
    <w:rsid w:val="00D55E69"/>
    <w:rsid w:val="00D562F6"/>
    <w:rsid w:val="00D67E9B"/>
    <w:rsid w:val="00D8388C"/>
    <w:rsid w:val="00D850A2"/>
    <w:rsid w:val="00D867D6"/>
    <w:rsid w:val="00D95C39"/>
    <w:rsid w:val="00D95E05"/>
    <w:rsid w:val="00DB1644"/>
    <w:rsid w:val="00DB2B24"/>
    <w:rsid w:val="00DB6D65"/>
    <w:rsid w:val="00DC0D79"/>
    <w:rsid w:val="00DC261B"/>
    <w:rsid w:val="00DC5042"/>
    <w:rsid w:val="00DC6D9C"/>
    <w:rsid w:val="00DD6AE9"/>
    <w:rsid w:val="00DE11F8"/>
    <w:rsid w:val="00DE2D80"/>
    <w:rsid w:val="00DE6542"/>
    <w:rsid w:val="00DE6E1A"/>
    <w:rsid w:val="00DF1A6F"/>
    <w:rsid w:val="00DF689E"/>
    <w:rsid w:val="00E038E4"/>
    <w:rsid w:val="00E06F75"/>
    <w:rsid w:val="00E1334D"/>
    <w:rsid w:val="00E17D47"/>
    <w:rsid w:val="00E2469C"/>
    <w:rsid w:val="00E4035E"/>
    <w:rsid w:val="00E43822"/>
    <w:rsid w:val="00E547D2"/>
    <w:rsid w:val="00E611E4"/>
    <w:rsid w:val="00E63714"/>
    <w:rsid w:val="00E65DB7"/>
    <w:rsid w:val="00E75415"/>
    <w:rsid w:val="00E86BC9"/>
    <w:rsid w:val="00E90598"/>
    <w:rsid w:val="00E9727C"/>
    <w:rsid w:val="00E97424"/>
    <w:rsid w:val="00EA4601"/>
    <w:rsid w:val="00EA55F7"/>
    <w:rsid w:val="00EA7C25"/>
    <w:rsid w:val="00EB0164"/>
    <w:rsid w:val="00EB023C"/>
    <w:rsid w:val="00EC39E9"/>
    <w:rsid w:val="00EC42F5"/>
    <w:rsid w:val="00ED0F62"/>
    <w:rsid w:val="00EE07A4"/>
    <w:rsid w:val="00EF35E4"/>
    <w:rsid w:val="00F074A0"/>
    <w:rsid w:val="00F16D87"/>
    <w:rsid w:val="00F25812"/>
    <w:rsid w:val="00F26299"/>
    <w:rsid w:val="00F42D4A"/>
    <w:rsid w:val="00F53331"/>
    <w:rsid w:val="00F606E1"/>
    <w:rsid w:val="00F66839"/>
    <w:rsid w:val="00F83639"/>
    <w:rsid w:val="00F840C3"/>
    <w:rsid w:val="00F937DF"/>
    <w:rsid w:val="00F956F5"/>
    <w:rsid w:val="00FA0833"/>
    <w:rsid w:val="00FA0944"/>
    <w:rsid w:val="00FA350D"/>
    <w:rsid w:val="00FC50D3"/>
    <w:rsid w:val="00FC712F"/>
    <w:rsid w:val="00FD2869"/>
    <w:rsid w:val="00FD5EE5"/>
    <w:rsid w:val="00FD72A6"/>
    <w:rsid w:val="00FE1AA2"/>
    <w:rsid w:val="00FE2C5C"/>
    <w:rsid w:val="0BE6604E"/>
    <w:rsid w:val="107B68F3"/>
    <w:rsid w:val="108219C2"/>
    <w:rsid w:val="13113F5E"/>
    <w:rsid w:val="1F8C2B14"/>
    <w:rsid w:val="1FDE71C6"/>
    <w:rsid w:val="2A9E465B"/>
    <w:rsid w:val="2D827678"/>
    <w:rsid w:val="3AA1351C"/>
    <w:rsid w:val="3F615FB6"/>
    <w:rsid w:val="41753810"/>
    <w:rsid w:val="48077183"/>
    <w:rsid w:val="48DF582D"/>
    <w:rsid w:val="49B27FF2"/>
    <w:rsid w:val="56C07D9E"/>
    <w:rsid w:val="5A06392C"/>
    <w:rsid w:val="5ABA0290"/>
    <w:rsid w:val="5CA26D84"/>
    <w:rsid w:val="5EA12B9A"/>
    <w:rsid w:val="64434493"/>
    <w:rsid w:val="74586A5B"/>
    <w:rsid w:val="74B516BE"/>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nhideWhenUsed="0" w:uiPriority="0"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uiPriority="99" w:name="footnote text"/>
    <w:lsdException w:uiPriority="99" w:name="annotation text"/>
    <w:lsdException w:qFormat="1" w:uiPriority="0"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qFormat="1" w:unhideWhenUsed="0" w:uiPriority="0" w:semiHidden="0" w:name="Body Text"/>
    <w:lsdException w:qFormat="1" w:unhideWhenUsed="0"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qFormat="1" w:unhideWhenUsed="0" w:uiPriority="99"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qFormat="1" w:unhideWhenUsed="0" w:uiPriority="0" w:semiHidden="0"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lang w:val="en-US" w:eastAsia="zh-CN" w:bidi="ar-SA"/>
    </w:rPr>
  </w:style>
  <w:style w:type="paragraph" w:styleId="2">
    <w:name w:val="heading 2"/>
    <w:basedOn w:val="1"/>
    <w:next w:val="3"/>
    <w:qFormat/>
    <w:uiPriority w:val="0"/>
    <w:pPr>
      <w:keepNext/>
      <w:outlineLvl w:val="1"/>
    </w:pPr>
    <w:rPr>
      <w:b/>
      <w:bCs/>
      <w:sz w:val="32"/>
    </w:rPr>
  </w:style>
  <w:style w:type="character" w:default="1" w:styleId="13">
    <w:name w:val="Default Paragraph Font"/>
    <w:semiHidden/>
    <w:unhideWhenUsed/>
    <w:uiPriority w:val="1"/>
  </w:style>
  <w:style w:type="table" w:default="1" w:styleId="11">
    <w:name w:val="Normal Table"/>
    <w:semiHidden/>
    <w:unhideWhenUsed/>
    <w:uiPriority w:val="99"/>
    <w:tblPr>
      <w:tblCellMar>
        <w:top w:w="0" w:type="dxa"/>
        <w:left w:w="108" w:type="dxa"/>
        <w:bottom w:w="0" w:type="dxa"/>
        <w:right w:w="108" w:type="dxa"/>
      </w:tblCellMar>
    </w:tblPr>
  </w:style>
  <w:style w:type="paragraph" w:styleId="3">
    <w:name w:val="Normal Indent"/>
    <w:basedOn w:val="1"/>
    <w:qFormat/>
    <w:uiPriority w:val="0"/>
    <w:pPr>
      <w:ind w:firstLine="420"/>
    </w:pPr>
  </w:style>
  <w:style w:type="paragraph" w:styleId="4">
    <w:name w:val="Body Text"/>
    <w:basedOn w:val="1"/>
    <w:qFormat/>
    <w:uiPriority w:val="0"/>
    <w:pPr>
      <w:tabs>
        <w:tab w:val="left" w:pos="0"/>
        <w:tab w:val="left" w:pos="180"/>
      </w:tabs>
      <w:spacing w:line="360" w:lineRule="auto"/>
      <w:jc w:val="left"/>
    </w:pPr>
    <w:rPr>
      <w:sz w:val="28"/>
    </w:rPr>
  </w:style>
  <w:style w:type="paragraph" w:styleId="5">
    <w:name w:val="Body Text Indent"/>
    <w:basedOn w:val="1"/>
    <w:semiHidden/>
    <w:qFormat/>
    <w:uiPriority w:val="99"/>
    <w:pPr>
      <w:spacing w:after="120"/>
      <w:ind w:left="420" w:leftChars="200"/>
    </w:pPr>
  </w:style>
  <w:style w:type="paragraph" w:styleId="6">
    <w:name w:val="Plain Text"/>
    <w:basedOn w:val="1"/>
    <w:link w:val="18"/>
    <w:qFormat/>
    <w:uiPriority w:val="0"/>
    <w:pPr>
      <w:widowControl/>
      <w:jc w:val="left"/>
    </w:pPr>
    <w:rPr>
      <w:rFonts w:ascii="宋体" w:hAnsi="Courier New"/>
      <w:kern w:val="0"/>
      <w:sz w:val="20"/>
      <w:lang w:eastAsia="en-US"/>
    </w:rPr>
  </w:style>
  <w:style w:type="paragraph" w:styleId="7">
    <w:name w:val="Balloon Text"/>
    <w:basedOn w:val="1"/>
    <w:link w:val="16"/>
    <w:semiHidden/>
    <w:unhideWhenUsed/>
    <w:qFormat/>
    <w:uiPriority w:val="99"/>
    <w:rPr>
      <w:sz w:val="18"/>
      <w:szCs w:val="18"/>
    </w:rPr>
  </w:style>
  <w:style w:type="paragraph" w:styleId="8">
    <w:name w:val="footer"/>
    <w:basedOn w:val="1"/>
    <w:link w:val="15"/>
    <w:unhideWhenUsed/>
    <w:qFormat/>
    <w:uiPriority w:val="99"/>
    <w:pPr>
      <w:tabs>
        <w:tab w:val="center" w:pos="4153"/>
        <w:tab w:val="right" w:pos="8306"/>
      </w:tabs>
      <w:snapToGrid w:val="0"/>
      <w:jc w:val="left"/>
    </w:pPr>
    <w:rPr>
      <w:sz w:val="18"/>
      <w:szCs w:val="18"/>
    </w:rPr>
  </w:style>
  <w:style w:type="paragraph" w:styleId="9">
    <w:name w:val="header"/>
    <w:basedOn w:val="1"/>
    <w:link w:val="14"/>
    <w:unhideWhenUsed/>
    <w:qFormat/>
    <w:uiPriority w:val="0"/>
    <w:pPr>
      <w:pBdr>
        <w:bottom w:val="single" w:color="auto" w:sz="6" w:space="1"/>
      </w:pBdr>
      <w:tabs>
        <w:tab w:val="center" w:pos="4153"/>
        <w:tab w:val="right" w:pos="8306"/>
      </w:tabs>
      <w:snapToGrid w:val="0"/>
      <w:jc w:val="center"/>
    </w:pPr>
    <w:rPr>
      <w:sz w:val="18"/>
      <w:szCs w:val="18"/>
    </w:rPr>
  </w:style>
  <w:style w:type="paragraph" w:styleId="10">
    <w:name w:val="Body Text First Indent 2"/>
    <w:basedOn w:val="5"/>
    <w:qFormat/>
    <w:uiPriority w:val="99"/>
    <w:pPr>
      <w:spacing w:after="0"/>
      <w:ind w:left="0" w:leftChars="0" w:firstLine="420" w:firstLineChars="200"/>
      <w:jc w:val="left"/>
    </w:pPr>
    <w:rPr>
      <w:rFonts w:ascii="宋体" w:hAnsi="宋体" w:eastAsia="仿宋_GB2312"/>
      <w:color w:val="000000"/>
      <w:sz w:val="28"/>
    </w:rPr>
  </w:style>
  <w:style w:type="table" w:styleId="12">
    <w:name w:val="Table Grid"/>
    <w:basedOn w:val="11"/>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14">
    <w:name w:val="页眉 Char"/>
    <w:basedOn w:val="13"/>
    <w:link w:val="9"/>
    <w:qFormat/>
    <w:uiPriority w:val="99"/>
    <w:rPr>
      <w:rFonts w:ascii="Times New Roman" w:hAnsi="Times New Roman" w:eastAsia="宋体" w:cs="Times New Roman"/>
      <w:sz w:val="18"/>
      <w:szCs w:val="18"/>
    </w:rPr>
  </w:style>
  <w:style w:type="character" w:customStyle="1" w:styleId="15">
    <w:name w:val="页脚 Char"/>
    <w:basedOn w:val="13"/>
    <w:link w:val="8"/>
    <w:qFormat/>
    <w:uiPriority w:val="99"/>
    <w:rPr>
      <w:rFonts w:ascii="Times New Roman" w:hAnsi="Times New Roman" w:eastAsia="宋体" w:cs="Times New Roman"/>
      <w:sz w:val="18"/>
      <w:szCs w:val="18"/>
    </w:rPr>
  </w:style>
  <w:style w:type="character" w:customStyle="1" w:styleId="16">
    <w:name w:val="批注框文本 Char"/>
    <w:basedOn w:val="13"/>
    <w:link w:val="7"/>
    <w:semiHidden/>
    <w:qFormat/>
    <w:uiPriority w:val="99"/>
    <w:rPr>
      <w:rFonts w:ascii="Times New Roman" w:hAnsi="Times New Roman" w:eastAsia="宋体" w:cs="Times New Roman"/>
      <w:sz w:val="18"/>
      <w:szCs w:val="18"/>
    </w:rPr>
  </w:style>
  <w:style w:type="character" w:customStyle="1" w:styleId="17">
    <w:name w:val="Char Char1"/>
    <w:qFormat/>
    <w:locked/>
    <w:uiPriority w:val="0"/>
    <w:rPr>
      <w:rFonts w:hint="eastAsia" w:ascii="宋体" w:hAnsi="Courier New" w:eastAsia="宋体"/>
      <w:kern w:val="2"/>
      <w:sz w:val="21"/>
      <w:lang w:val="en-US" w:eastAsia="zh-CN" w:bidi="ar-SA"/>
    </w:rPr>
  </w:style>
  <w:style w:type="character" w:customStyle="1" w:styleId="18">
    <w:name w:val="纯文本 Char"/>
    <w:basedOn w:val="13"/>
    <w:link w:val="6"/>
    <w:qFormat/>
    <w:uiPriority w:val="0"/>
    <w:rPr>
      <w:rFonts w:ascii="宋体" w:hAnsi="Courier New" w:eastAsia="宋体" w:cs="Times New Roman"/>
      <w:lang w:eastAsia="en-US"/>
    </w:rPr>
  </w:style>
  <w:style w:type="paragraph" w:customStyle="1" w:styleId="19">
    <w:name w:val="_Style 2"/>
    <w:basedOn w:val="1"/>
    <w:qFormat/>
    <w:uiPriority w:val="0"/>
    <w:pPr>
      <w:widowControl/>
      <w:ind w:firstLine="420" w:firstLineChars="200"/>
      <w:jc w:val="left"/>
    </w:pPr>
    <w:rPr>
      <w:kern w:val="0"/>
      <w:sz w:val="20"/>
      <w:lang w:eastAsia="en-US"/>
    </w:rPr>
  </w:style>
  <w:style w:type="paragraph" w:customStyle="1" w:styleId="20">
    <w:name w:val="Default"/>
    <w:qFormat/>
    <w:uiPriority w:val="0"/>
    <w:pPr>
      <w:widowControl w:val="0"/>
      <w:autoSpaceDE w:val="0"/>
      <w:autoSpaceDN w:val="0"/>
      <w:adjustRightInd w:val="0"/>
    </w:pPr>
    <w:rPr>
      <w:rFonts w:ascii="Times New Roman" w:hAnsi="Times New Roman" w:eastAsia="宋体" w:cs="Times New Roman"/>
      <w:color w:val="000000"/>
      <w:sz w:val="24"/>
      <w:szCs w:val="24"/>
      <w:lang w:val="en-US" w:eastAsia="zh-CN" w:bidi="ar-SA"/>
    </w:rPr>
  </w:style>
  <w:style w:type="paragraph" w:styleId="21">
    <w:name w:val="List Paragraph"/>
    <w:basedOn w:val="1"/>
    <w:qFormat/>
    <w:uiPriority w:val="99"/>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theme" Target="theme/theme1.xml"/><Relationship Id="rId4" Type="http://schemas.openxmlformats.org/officeDocument/2006/relationships/footer" Target="footer1.xml"/><Relationship Id="rId33" Type="http://schemas.openxmlformats.org/officeDocument/2006/relationships/fontTable" Target="fontTable.xml"/><Relationship Id="rId32" Type="http://schemas.openxmlformats.org/officeDocument/2006/relationships/numbering" Target="numbering.xml"/><Relationship Id="rId31" Type="http://schemas.openxmlformats.org/officeDocument/2006/relationships/customXml" Target="../customXml/item1.xml"/><Relationship Id="rId30" Type="http://schemas.openxmlformats.org/officeDocument/2006/relationships/image" Target="media/image26.jpeg"/><Relationship Id="rId3" Type="http://schemas.openxmlformats.org/officeDocument/2006/relationships/header" Target="header1.xml"/><Relationship Id="rId29" Type="http://schemas.openxmlformats.org/officeDocument/2006/relationships/image" Target="media/image25.jpeg"/><Relationship Id="rId28" Type="http://schemas.openxmlformats.org/officeDocument/2006/relationships/image" Target="media/image24.jpeg"/><Relationship Id="rId27" Type="http://schemas.openxmlformats.org/officeDocument/2006/relationships/image" Target="media/image23.jpeg"/><Relationship Id="rId26" Type="http://schemas.openxmlformats.org/officeDocument/2006/relationships/image" Target="media/image22.jpe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jpeg"/><Relationship Id="rId2" Type="http://schemas.openxmlformats.org/officeDocument/2006/relationships/settings" Target="settings.xml"/><Relationship Id="rId19" Type="http://schemas.openxmlformats.org/officeDocument/2006/relationships/image" Target="media/image15.jpeg"/><Relationship Id="rId18" Type="http://schemas.openxmlformats.org/officeDocument/2006/relationships/image" Target="media/image14.jpeg"/><Relationship Id="rId17" Type="http://schemas.openxmlformats.org/officeDocument/2006/relationships/image" Target="media/image13.jpeg"/><Relationship Id="rId16" Type="http://schemas.openxmlformats.org/officeDocument/2006/relationships/image" Target="media/image12.jpeg"/><Relationship Id="rId15" Type="http://schemas.openxmlformats.org/officeDocument/2006/relationships/image" Target="media/image11.jpe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307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1519</Words>
  <Characters>8660</Characters>
  <Lines>72</Lines>
  <Paragraphs>20</Paragraphs>
  <TotalTime>2</TotalTime>
  <ScaleCrop>false</ScaleCrop>
  <LinksUpToDate>false</LinksUpToDate>
  <CharactersWithSpaces>10159</CharactersWithSpaces>
  <Application>WPS Office_11.1.0.10132_F1E327BC-269C-435d-A152-05C5408002CA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2015-06-17T12:51:00Z</dcterms:created>
  <dc:creator>微软用户</dc:creator>
  <cp:lastModifiedBy>LIL</cp:lastModifiedBy>
  <dcterms:modified xsi:type="dcterms:W3CDTF">2020-11-16T14:42:22Z</dcterms:modified>
  <cp:revision>613</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2052-11.1.0.10132</vt:lpwstr>
  </property>
</Properties>
</file>