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泸州桓立塑料包装制造有限公司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Q:14.02.02</w:t>
            </w:r>
          </w:p>
          <w:p>
            <w:pPr>
              <w:spacing w:line="240" w:lineRule="exact"/>
              <w:jc w:val="center"/>
              <w:rPr>
                <w:b/>
                <w:color w:val="000000" w:themeColor="text1"/>
                <w:sz w:val="20"/>
                <w:szCs w:val="20"/>
              </w:rPr>
            </w:pPr>
            <w:r>
              <w:rPr>
                <w:b/>
                <w:color w:val="000000" w:themeColor="text1"/>
                <w:sz w:val="20"/>
                <w:szCs w:val="20"/>
              </w:rPr>
              <w:t>O:14.02.02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黑体" w:hAnsi="黑体" w:eastAsia="黑体" w:cs="黑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黑体" w:hAnsi="黑体" w:eastAsia="黑体" w:cs="黑体"/>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Q：GB/T19001-2016/ISO9001:2015,O：GB/T45001-2020 / ISO45001：2018</w:t>
      </w:r>
      <w:bookmarkEnd w:id="4"/>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泸州桓立塑料包装制造有限公司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泸州市江阳区邻玉街道办事处天堂村一社附一号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646000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泸州市江阳区江南路一段智能园区内131号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646000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唐开萍</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13700987703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张远非</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唐开萍</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Q：塑料包装制品的生产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O：塑料包装制品的生产所涉及的相关职业健康安全管理活动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Q：14.02.02</w:t>
            </w:r>
          </w:p>
          <w:p>
            <w:pPr>
              <w:spacing w:line="320" w:lineRule="exact"/>
              <w:rPr>
                <w:rFonts w:ascii="宋体" w:hAnsi="宋体"/>
                <w:b/>
                <w:color w:val="000000" w:themeColor="text1"/>
                <w:sz w:val="20"/>
                <w:szCs w:val="20"/>
              </w:rPr>
            </w:pPr>
            <w:r>
              <w:rPr>
                <w:rFonts w:ascii="宋体" w:hAnsi="宋体"/>
                <w:b/>
                <w:color w:val="000000" w:themeColor="text1"/>
                <w:sz w:val="20"/>
                <w:szCs w:val="20"/>
              </w:rPr>
              <w:t>O：14.02.02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黑体" w:hAnsi="黑体" w:eastAsia="黑体" w:cs="黑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办公室（含财务部）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塑料包装制品的生产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塑料制品的标志 GB/T 16288-2008、重复使用包装箱通用技术条件 GB/T 32568-2016等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b/>
          <w:color w:val="000000" w:themeColor="text1"/>
          <w:spacing w:val="-10"/>
          <w:szCs w:val="21"/>
        </w:rPr>
        <w:t>体系运行开始的2020年4月</w:t>
      </w:r>
      <w:bookmarkStart w:id="20" w:name="OLE_LINK1"/>
      <w:r>
        <w:rPr>
          <w:rFonts w:hint="eastAsia"/>
          <w:b/>
          <w:color w:val="000000" w:themeColor="text1"/>
          <w:spacing w:val="-10"/>
          <w:szCs w:val="21"/>
        </w:rPr>
        <w:t>1日</w:t>
      </w:r>
      <w:bookmarkEnd w:id="20"/>
      <w:r>
        <w:rPr>
          <w:rFonts w:hint="eastAsia"/>
          <w:b/>
          <w:color w:val="000000" w:themeColor="text1"/>
          <w:spacing w:val="-10"/>
          <w:szCs w:val="21"/>
        </w:rPr>
        <w:t>至2020年11月19日。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exac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黑体" w:hAnsi="黑体" w:eastAsia="黑体" w:cs="黑体"/>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ascii="黑体" w:hAnsi="黑体" w:eastAsia="黑体" w:cs="黑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szCs w:val="21"/>
              </w:rPr>
              <w:t>质量方针：精工细作，持续改进，向顾客提供满意和优质服务</w:t>
            </w:r>
            <w:r>
              <w:rPr>
                <w:rFonts w:hint="eastAsia"/>
                <w:bCs/>
                <w:szCs w:val="21"/>
              </w:rPr>
              <w:t>；</w:t>
            </w:r>
            <w:r>
              <w:rPr>
                <w:rFonts w:hint="eastAsia" w:ascii="宋体" w:hAnsi="宋体"/>
                <w:szCs w:val="21"/>
              </w:rPr>
              <w:t>职业健康安全方针： 增强守法意识，创造卓越绩效；提倡健康人生、保证风险预控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rFonts w:hint="eastAsia"/>
                <w:b/>
                <w:color w:val="000000" w:themeColor="text1"/>
              </w:rPr>
              <w:t>4、风险识别与控制策划（QMS）</w:t>
            </w:r>
          </w:p>
          <w:p>
            <w:pPr>
              <w:spacing w:line="240" w:lineRule="exact"/>
              <w:ind w:firstLine="420" w:firstLineChars="200"/>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质量管理体系过程有：合同评审、生产管理过程。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需要确认过程:铸模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8" o:spid="_x0000_s1028"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   公司按照国家法律法规、国家标准及顾客要求实施服</w:t>
            </w:r>
            <w:r>
              <w:rPr>
                <w:rFonts w:hint="eastAsia" w:ascii="宋体" w:hAnsi="宋体"/>
                <w:b/>
                <w:color w:val="000000" w:themeColor="text1"/>
                <w:sz w:val="20"/>
                <w:szCs w:val="20"/>
                <w:u w:val="single"/>
              </w:rPr>
              <w:t xml:space="preserve">务，不涉及产品设计，故GB/T19001-2016标准的8.3“产品和服务的设计和开发”部分不适用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b/>
                <w:color w:val="000000" w:themeColor="text1"/>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黑体" w:hAnsi="黑体" w:eastAsia="黑体" w:cs="黑体"/>
                <w:b/>
                <w:color w:val="000000" w:themeColor="text1"/>
                <w:szCs w:val="21"/>
              </w:rPr>
              <w:t>■</w:t>
            </w:r>
            <w:r>
              <w:rPr>
                <w:rFonts w:hint="eastAsia" w:ascii="宋体" w:hAnsi="宋体"/>
                <w:b/>
                <w:color w:val="000000" w:themeColor="text1"/>
                <w:szCs w:val="21"/>
              </w:rPr>
              <w:t>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黑体" w:hAnsi="黑体" w:eastAsia="黑体" w:cs="黑体"/>
                <w:b/>
                <w:color w:val="000000" w:themeColor="text1"/>
                <w:szCs w:val="21"/>
              </w:rPr>
              <w:t>■</w:t>
            </w:r>
            <w:r>
              <w:rPr>
                <w:rFonts w:hint="eastAsia" w:ascii="宋体" w:hAnsi="宋体"/>
                <w:b/>
                <w:color w:val="000000" w:themeColor="text1"/>
                <w:szCs w:val="21"/>
              </w:rPr>
              <w:t>产品/服务□环境因素□危险源，</w:t>
            </w:r>
            <w:r>
              <w:rPr>
                <w:rFonts w:hint="eastAsia" w:ascii="黑体" w:hAnsi="黑体" w:eastAsia="黑体" w:cs="黑体"/>
                <w:b/>
                <w:color w:val="000000" w:themeColor="text1"/>
                <w:szCs w:val="21"/>
              </w:rPr>
              <w:t>■</w:t>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ind w:firstLine="420" w:firstLineChars="200"/>
              <w:jc w:val="left"/>
              <w:rPr>
                <w:rFonts w:ascii="宋体" w:hAnsi="宋体"/>
                <w:bCs/>
                <w:szCs w:val="21"/>
              </w:rPr>
            </w:pPr>
            <w:r>
              <w:rPr>
                <w:rFonts w:hint="eastAsia" w:ascii="宋体" w:hAnsi="宋体"/>
                <w:bCs/>
                <w:szCs w:val="21"/>
              </w:rPr>
              <w:t>质量目标、职业健康安全目标</w:t>
            </w:r>
          </w:p>
          <w:p>
            <w:pPr>
              <w:spacing w:line="360" w:lineRule="auto"/>
              <w:jc w:val="left"/>
              <w:rPr>
                <w:szCs w:val="21"/>
              </w:rPr>
            </w:pPr>
            <w:r>
              <w:rPr>
                <w:rFonts w:hint="eastAsia"/>
                <w:szCs w:val="21"/>
              </w:rPr>
              <w:t>1) 顾客满意度≥90分</w:t>
            </w:r>
          </w:p>
          <w:p>
            <w:pPr>
              <w:spacing w:line="360" w:lineRule="auto"/>
              <w:jc w:val="left"/>
              <w:rPr>
                <w:szCs w:val="21"/>
              </w:rPr>
            </w:pPr>
            <w:r>
              <w:rPr>
                <w:rFonts w:hint="eastAsia"/>
                <w:szCs w:val="21"/>
              </w:rPr>
              <w:t>2)产品交付合格率100%  </w:t>
            </w:r>
          </w:p>
          <w:p>
            <w:pPr>
              <w:spacing w:line="360" w:lineRule="auto"/>
              <w:jc w:val="left"/>
              <w:rPr>
                <w:szCs w:val="21"/>
              </w:rPr>
            </w:pPr>
            <w:r>
              <w:rPr>
                <w:rFonts w:hint="eastAsia"/>
                <w:szCs w:val="21"/>
              </w:rPr>
              <w:t>3)火灾事故为0</w:t>
            </w:r>
          </w:p>
          <w:p>
            <w:pPr>
              <w:spacing w:line="360" w:lineRule="auto"/>
              <w:jc w:val="left"/>
              <w:rPr>
                <w:szCs w:val="21"/>
              </w:rPr>
            </w:pPr>
            <w:r>
              <w:rPr>
                <w:rFonts w:hint="eastAsia"/>
                <w:szCs w:val="21"/>
              </w:rPr>
              <w:t>4)触电事故为0</w:t>
            </w:r>
          </w:p>
          <w:p>
            <w:pPr>
              <w:spacing w:line="360" w:lineRule="auto"/>
              <w:jc w:val="left"/>
              <w:rPr>
                <w:rFonts w:ascii="宋体" w:hAnsi="宋体"/>
                <w:b/>
                <w:color w:val="000000" w:themeColor="text1"/>
              </w:rPr>
            </w:pPr>
            <w:r>
              <w:rPr>
                <w:rFonts w:hint="eastAsia"/>
                <w:szCs w:val="21"/>
              </w:rPr>
              <w:t>5)车辆伤害为0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公司按照申请认证的标准要求，建立并形成了文件化的质量和</w:t>
            </w:r>
            <w:r>
              <w:rPr>
                <w:rFonts w:hint="eastAsia" w:ascii="宋体" w:hAnsi="宋体"/>
                <w:color w:val="000000" w:themeColor="text1"/>
              </w:rPr>
              <w:t>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2020 </w:t>
            </w:r>
            <w:r>
              <w:rPr>
                <w:rFonts w:hint="eastAsia" w:ascii="宋体" w:hAnsi="宋体" w:cs="宋体"/>
                <w:color w:val="000000" w:themeColor="text1"/>
              </w:rPr>
              <w:t>年4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r>
              <w:rPr>
                <w:rFonts w:hint="eastAsia"/>
              </w:rPr>
              <w:t>电脑、办公设备、</w:t>
            </w:r>
            <w:r>
              <w:rPr>
                <w:rFonts w:hint="eastAsia" w:ascii="宋体" w:hAnsi="宋体"/>
                <w:szCs w:val="21"/>
              </w:rPr>
              <w:t>立切记、冲床、贴合机、绒布复合机、排废机等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生产</w:t>
            </w:r>
            <w:r>
              <w:rPr>
                <w:rFonts w:hint="eastAsia" w:ascii="宋体" w:hAnsi="宋体" w:cs="宋体"/>
                <w:szCs w:val="21"/>
              </w:rPr>
              <w:t>场所和内设备布置合理，通道畅通，照明设施齐全，均配备了消防设施等设施。办公室明亮，培训场所光线较充足。每月由办公室对工作环境进行定期检查。</w:t>
            </w:r>
          </w:p>
        </w:tc>
      </w:tr>
    </w:tbl>
    <w:p>
      <w:pPr>
        <w:spacing w:line="240" w:lineRule="exact"/>
        <w:ind w:left="113" w:right="113"/>
        <w:jc w:val="center"/>
        <w:rPr>
          <w:b/>
          <w:color w:val="000000" w:themeColor="text1"/>
          <w:szCs w:val="21"/>
        </w:rPr>
      </w:pPr>
      <w:r>
        <w:rPr>
          <w:b/>
          <w:color w:val="000000" w:themeColor="text1"/>
          <w:szCs w:val="21"/>
        </w:rPr>
        <w:br w:type="page"/>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restart"/>
            <w:textDirection w:val="tbRlV"/>
            <w:vAlign w:val="center"/>
          </w:tcPr>
          <w:p>
            <w:pPr>
              <w:pStyle w:val="2"/>
            </w:pPr>
          </w:p>
        </w:tc>
        <w:tc>
          <w:tcPr>
            <w:tcW w:w="9198" w:type="dxa"/>
          </w:tcPr>
          <w:p>
            <w:pPr>
              <w:spacing w:line="240" w:lineRule="exact"/>
              <w:rPr>
                <w:rFonts w:hint="eastAsia"/>
                <w:b/>
                <w:bCs/>
              </w:rPr>
            </w:pPr>
            <w:r>
              <w:rPr>
                <w:rFonts w:hint="eastAsia"/>
                <w:b/>
                <w:bCs/>
              </w:rPr>
              <w:t>监视和测量资源</w:t>
            </w:r>
          </w:p>
          <w:p>
            <w:pPr>
              <w:spacing w:line="400" w:lineRule="exact"/>
            </w:pPr>
            <w:r>
              <w:rPr>
                <w:rFonts w:hint="eastAsia"/>
                <w:szCs w:val="21"/>
              </w:rPr>
              <w:t>有游标卡尺、直尺、电子秤等，未按期校准或检定。</w:t>
            </w:r>
            <w:r>
              <w:rPr>
                <w:rFonts w:hint="eastAsia"/>
                <w:color w:val="000000" w:themeColor="text1"/>
                <w:sz w:val="21"/>
                <w:szCs w:val="21"/>
                <w:lang w:val="en-US" w:eastAsia="zh-CN"/>
              </w:rPr>
              <w:t>不</w:t>
            </w:r>
            <w:r>
              <w:rPr>
                <w:rFonts w:hint="eastAsia"/>
                <w:color w:val="000000" w:themeColor="text1"/>
                <w:sz w:val="21"/>
                <w:szCs w:val="21"/>
                <w:lang w:eastAsia="zh-CN"/>
              </w:rPr>
              <w:t>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20" w:firstLineChars="200"/>
              <w:rPr>
                <w:rFonts w:ascii="宋体" w:hAnsi="宋体" w:cs="宋体"/>
                <w:szCs w:val="21"/>
              </w:rPr>
            </w:pPr>
            <w:r>
              <w:rPr>
                <w:rFonts w:hint="eastAsia" w:ascii="宋体" w:hAnsi="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宋体"/>
                <w:color w:val="000000"/>
                <w:szCs w:val="21"/>
              </w:rPr>
              <w:t>对会议通知和规定等登记处理</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宋体" w:hAnsi="宋体" w:cs="Arial"/>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exac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exac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 xml:space="preserve">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tabs>
                <w:tab w:val="left" w:pos="2552"/>
              </w:tabs>
              <w:spacing w:line="360" w:lineRule="exact"/>
              <w:rPr>
                <w:b/>
                <w:color w:val="000000" w:themeColor="text1"/>
                <w:sz w:val="20"/>
                <w:szCs w:val="20"/>
              </w:rPr>
            </w:pPr>
            <w:r>
              <w:rPr>
                <w:rFonts w:hint="eastAsia"/>
                <w:b/>
                <w:color w:val="000000" w:themeColor="text1"/>
                <w:sz w:val="20"/>
                <w:szCs w:val="20"/>
              </w:rPr>
              <w:t>8.OHSMS组织对不可接受风险实施控制的结果</w:t>
            </w:r>
          </w:p>
          <w:p>
            <w:pPr>
              <w:tabs>
                <w:tab w:val="left" w:pos="2552"/>
              </w:tabs>
              <w:spacing w:line="360" w:lineRule="exact"/>
              <w:ind w:firstLine="420" w:firstLineChars="200"/>
              <w:rPr>
                <w:b/>
                <w:color w:val="000000" w:themeColor="text1"/>
                <w:sz w:val="20"/>
                <w:szCs w:val="20"/>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szCs w:val="21"/>
              </w:rPr>
              <w:t>火灾、机械伤害、触电、车辆伤害）</w:t>
            </w:r>
            <w:r>
              <w:rPr>
                <w:rFonts w:hint="eastAsia" w:asciiTheme="minorEastAsia" w:hAnsiTheme="minorEastAsia" w:eastAsiaTheme="minorEastAsia"/>
                <w:bCs/>
                <w:iCs/>
              </w:rPr>
              <w:t>，与之相关的过程有生产过程，针对不可接受风险制定了管理方案。控制措施实施有效。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11 .对危险化学品销售、使用、储存、运输处置，规定的执行力度(必要时);</w:t>
            </w:r>
          </w:p>
          <w:p>
            <w:pPr>
              <w:pStyle w:val="2"/>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w:t>
            </w:r>
          </w:p>
          <w:p>
            <w:pPr>
              <w:spacing w:line="240" w:lineRule="exact"/>
              <w:ind w:firstLine="525" w:firstLineChars="2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7月-2020年9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b/>
                <w:sz w:val="20"/>
                <w:szCs w:val="20"/>
              </w:rPr>
            </w:pPr>
            <w:r>
              <w:rPr>
                <w:rFonts w:hint="eastAsia"/>
                <w:b/>
                <w:sz w:val="20"/>
                <w:szCs w:val="20"/>
              </w:rPr>
              <w:t>顾客满意</w:t>
            </w:r>
          </w:p>
          <w:p>
            <w:pPr>
              <w:spacing w:line="240" w:lineRule="exact"/>
              <w:ind w:left="-105" w:leftChars="-50"/>
              <w:rPr>
                <w:b/>
                <w:sz w:val="20"/>
                <w:szCs w:val="20"/>
              </w:rPr>
            </w:pPr>
            <w:r>
              <w:rPr>
                <w:rFonts w:hint="eastAsia" w:ascii="宋体" w:hAnsi="宋体" w:cs="宋体"/>
                <w:szCs w:val="21"/>
              </w:rPr>
              <w:t xml:space="preserve">   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7月实施，满意度评价95.6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exac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ascii="宋体" w:hAnsi="宋体"/>
                <w:szCs w:val="21"/>
              </w:rPr>
              <w:t>建立有《内部审核控制程序》，规定了内审频次一年一次，内审时间：2020年08月15日-16日，拟定了审核实施表，明确了内审范围，内审人员经培训合格上岗，能力满足要求，未</w:t>
            </w:r>
            <w:r>
              <w:rPr>
                <w:rFonts w:hint="eastAsia" w:ascii="宋体" w:hAnsi="宋体"/>
                <w:color w:val="000000" w:themeColor="text1"/>
                <w:szCs w:val="21"/>
                <w14:textFill>
                  <w14:solidFill>
                    <w14:schemeClr w14:val="tx1"/>
                  </w14:solidFill>
                </w14:textFill>
              </w:rPr>
              <w:t>出现审核本部门情况，</w:t>
            </w:r>
            <w:r>
              <w:rPr>
                <w:rFonts w:hint="eastAsia"/>
                <w:color w:val="000000" w:themeColor="text1"/>
                <w:szCs w:val="22"/>
                <w14:textFill>
                  <w14:solidFill>
                    <w14:schemeClr w14:val="tx1"/>
                  </w14:solidFill>
                </w14:textFill>
              </w:rPr>
              <w:t>《内审不符合项报告》1份，</w:t>
            </w:r>
            <w:r>
              <w:rPr>
                <w:rFonts w:hint="eastAsia" w:ascii="宋体" w:hAnsi="宋体"/>
                <w:color w:val="000000" w:themeColor="text1"/>
                <w:szCs w:val="21"/>
                <w14:textFill>
                  <w14:solidFill>
                    <w14:schemeClr w14:val="tx1"/>
                  </w14:solidFill>
                </w14:textFill>
              </w:rPr>
              <w:t>涉及生产部Q7.1.3条款“提供不出基础设施台账”，针</w:t>
            </w:r>
            <w:r>
              <w:rPr>
                <w:rFonts w:hint="eastAsia" w:ascii="宋体" w:hAnsi="宋体"/>
                <w:szCs w:val="21"/>
              </w:rPr>
              <w:t>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2020年8月23日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color w:val="FF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color w:val="FF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sz w:val="20"/>
                <w:szCs w:val="20"/>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Cs/>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6"/>
              </w:numPr>
              <w:spacing w:line="240" w:lineRule="exact"/>
              <w:rPr>
                <w:b/>
                <w:color w:val="000000" w:themeColor="text1"/>
                <w:sz w:val="20"/>
                <w:szCs w:val="20"/>
              </w:rPr>
            </w:pPr>
            <w:r>
              <w:rPr>
                <w:rFonts w:hint="eastAsia"/>
                <w:b/>
                <w:color w:val="000000" w:themeColor="text1"/>
                <w:sz w:val="20"/>
                <w:szCs w:val="20"/>
              </w:rPr>
              <w:t>其他能够标明组织绩效、信誉的证据/信息：</w:t>
            </w:r>
          </w:p>
          <w:p>
            <w:pPr>
              <w:widowControl/>
              <w:spacing w:line="240" w:lineRule="exact"/>
              <w:rPr>
                <w:b/>
                <w:color w:val="000000" w:themeColor="text1"/>
                <w:sz w:val="20"/>
                <w:szCs w:val="20"/>
              </w:rPr>
            </w:pPr>
            <w:r>
              <w:rPr>
                <w:rFonts w:hint="eastAsia"/>
                <w:bCs/>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一阶段问题未整改，已开具不符合。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5.上次不符合的整改情况（再认证填写）</w:t>
            </w:r>
          </w:p>
          <w:p>
            <w:pPr>
              <w:spacing w:line="240" w:lineRule="exact"/>
              <w:ind w:firstLine="211" w:firstLineChars="1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rPr>
        <w:t>1. 本次审核共开具不符合项报告1项；其中</w:t>
      </w:r>
      <w:r>
        <w:rPr>
          <w:b/>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rPr>
        <w:t>严重不符合 0项，一般不符合1项，观察项项分布在生产部部门Q7.1.5条款，分布见附件。（Q/J/E/S分开填写）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exac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黑体" w:hAnsi="黑体" w:eastAsia="黑体" w:cs="黑体"/>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ascii="黑体" w:hAnsi="黑体" w:eastAsia="黑体" w:cs="黑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黑体" w:hAnsi="黑体" w:eastAsia="黑体" w:cs="黑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塑料包装制品的生产</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:塑料包装制品的生产所涉及的相关职业健康安全管理活动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黑体" w:hAnsi="黑体" w:eastAsia="黑体" w:cs="黑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黑体" w:hAnsi="黑体" w:eastAsia="黑体" w:cs="黑体"/>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ascii="黑体" w:hAnsi="黑体" w:eastAsia="黑体" w:cs="黑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 xml:space="preserve">：无 </w:t>
      </w:r>
    </w:p>
    <w:p>
      <w:pPr>
        <w:spacing w:beforeLines="50" w:afterLines="50"/>
        <w:ind w:left="-326" w:leftChars="-405" w:hanging="524" w:hangingChars="326"/>
        <w:rPr>
          <w:rFonts w:hint="eastAsia"/>
          <w:b/>
          <w:color w:val="000000" w:themeColor="text1"/>
          <w:sz w:val="16"/>
          <w:szCs w:val="16"/>
        </w:rPr>
      </w:pPr>
    </w:p>
    <w:p>
      <w:pPr>
        <w:pStyle w:val="2"/>
        <w:rPr>
          <w:rFonts w:hint="eastAsia"/>
        </w:rPr>
      </w:pPr>
    </w:p>
    <w:p>
      <w:pPr>
        <w:pStyle w:val="2"/>
        <w:rPr>
          <w:rFonts w:hint="eastAsia"/>
        </w:rPr>
      </w:pPr>
    </w:p>
    <w:p>
      <w:pPr>
        <w:pStyle w:val="2"/>
      </w:pP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1567180</wp:posOffset>
            </wp:positionH>
            <wp:positionV relativeFrom="paragraph">
              <wp:posOffset>314325</wp:posOffset>
            </wp:positionV>
            <wp:extent cx="384175" cy="398145"/>
            <wp:effectExtent l="0" t="0" r="15875" b="190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84175" cy="39814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50" w:firstLineChars="250"/>
        <w:rPr>
          <w:b/>
          <w:color w:val="000000" w:themeColor="text1"/>
        </w:rPr>
      </w:pPr>
      <w:r>
        <w:rPr>
          <w:sz w:val="22"/>
          <w:szCs w:val="22"/>
        </w:rPr>
        <w:drawing>
          <wp:anchor distT="0" distB="0" distL="114300" distR="114300" simplePos="0" relativeHeight="251698176" behindDoc="0" locked="0" layoutInCell="1" allowOverlap="1">
            <wp:simplePos x="0" y="0"/>
            <wp:positionH relativeFrom="column">
              <wp:posOffset>3237230</wp:posOffset>
            </wp:positionH>
            <wp:positionV relativeFrom="paragraph">
              <wp:posOffset>193675</wp:posOffset>
            </wp:positionV>
            <wp:extent cx="471805" cy="309245"/>
            <wp:effectExtent l="0" t="0" r="4445" b="1460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cstate="print"/>
                    <a:stretch>
                      <a:fillRect/>
                    </a:stretch>
                  </pic:blipFill>
                  <pic:spPr>
                    <a:xfrm>
                      <a:off x="0" y="0"/>
                      <a:ext cx="471805" cy="309245"/>
                    </a:xfrm>
                    <a:prstGeom prst="rect">
                      <a:avLst/>
                    </a:prstGeom>
                  </pic:spPr>
                </pic:pic>
              </a:graphicData>
            </a:graphic>
          </wp:anchor>
        </w:drawing>
      </w:r>
      <w:r>
        <w:rPr>
          <w:rFonts w:hint="eastAsia"/>
          <w:sz w:val="22"/>
          <w:szCs w:val="22"/>
        </w:rPr>
        <w:drawing>
          <wp:anchor distT="0" distB="0" distL="114300" distR="114300" simplePos="0" relativeHeight="251688960" behindDoc="0" locked="0" layoutInCell="1" allowOverlap="1">
            <wp:simplePos x="0" y="0"/>
            <wp:positionH relativeFrom="column">
              <wp:posOffset>2395220</wp:posOffset>
            </wp:positionH>
            <wp:positionV relativeFrom="paragraph">
              <wp:posOffset>162560</wp:posOffset>
            </wp:positionV>
            <wp:extent cx="743585" cy="368300"/>
            <wp:effectExtent l="0" t="0" r="18415" b="12700"/>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8" cstate="print"/>
                    <a:srcRect l="19829" t="27682" r="28673" b="20988"/>
                    <a:stretch>
                      <a:fillRect/>
                    </a:stretch>
                  </pic:blipFill>
                  <pic:spPr>
                    <a:xfrm>
                      <a:off x="0" y="0"/>
                      <a:ext cx="743585" cy="368300"/>
                    </a:xfrm>
                    <a:prstGeom prst="rect">
                      <a:avLst/>
                    </a:prstGeom>
                  </pic:spPr>
                </pic:pic>
              </a:graphicData>
            </a:graphic>
          </wp:anchor>
        </w:drawing>
      </w:r>
      <w:r>
        <w:rPr>
          <w:rFonts w:hint="eastAsia"/>
          <w:sz w:val="22"/>
          <w:szCs w:val="22"/>
        </w:rPr>
        <w:drawing>
          <wp:anchor distT="0" distB="0" distL="114300" distR="114300" simplePos="0" relativeHeight="251678720" behindDoc="1" locked="0" layoutInCell="1" allowOverlap="1">
            <wp:simplePos x="0" y="0"/>
            <wp:positionH relativeFrom="column">
              <wp:posOffset>1475105</wp:posOffset>
            </wp:positionH>
            <wp:positionV relativeFrom="paragraph">
              <wp:posOffset>161290</wp:posOffset>
            </wp:positionV>
            <wp:extent cx="849630" cy="340995"/>
            <wp:effectExtent l="0" t="0" r="45720" b="40005"/>
            <wp:wrapNone/>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9" cstate="print"/>
                    <a:stretch>
                      <a:fillRect/>
                    </a:stretch>
                  </pic:blipFill>
                  <pic:spPr>
                    <a:xfrm>
                      <a:off x="0" y="0"/>
                      <a:ext cx="849630" cy="340995"/>
                    </a:xfrm>
                    <a:prstGeom prst="rect">
                      <a:avLst/>
                    </a:prstGeom>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 xml:space="preserve">审核组组员（签名）：                     </w:t>
      </w:r>
    </w:p>
    <w:p>
      <w:pPr>
        <w:snapToGrid w:val="0"/>
        <w:spacing w:line="360" w:lineRule="auto"/>
        <w:ind w:firstLine="3080" w:firstLineChars="1461"/>
        <w:rPr>
          <w:b/>
          <w:color w:val="000000" w:themeColor="text1"/>
          <w:sz w:val="16"/>
          <w:szCs w:val="16"/>
        </w:rPr>
      </w:pPr>
      <w:r>
        <w:rPr>
          <w:rFonts w:hint="eastAsia"/>
          <w:b/>
          <w:color w:val="000000" w:themeColor="text1"/>
        </w:rPr>
        <w:t>日期2020</w:t>
      </w:r>
      <w:r>
        <w:rPr>
          <w:rFonts w:hint="eastAsia" w:asciiTheme="minorEastAsia" w:hAnsiTheme="minorEastAsia" w:eastAsiaTheme="minorEastAsia"/>
          <w:b/>
          <w:color w:val="000000" w:themeColor="text1"/>
        </w:rPr>
        <w:t>年11月19日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黑体" w:hAnsi="黑体" w:eastAsia="黑体" w:cs="黑体"/>
          <w:b/>
          <w:color w:val="000000" w:themeColor="text1"/>
          <w:spacing w:val="-10"/>
          <w:szCs w:val="21"/>
        </w:rPr>
        <w:t>■</w:t>
      </w:r>
      <w:r>
        <w:rPr>
          <w:rFonts w:hint="eastAsia"/>
          <w:b/>
          <w:color w:val="000000" w:themeColor="text1"/>
          <w:szCs w:val="21"/>
        </w:rPr>
        <w:t>QMS( 1 )个一般不符合，0)个严重不符合，</w:t>
      </w:r>
      <w:r>
        <w:rPr>
          <w:rFonts w:hint="eastAsia" w:ascii="黑体" w:hAnsi="黑体" w:eastAsia="黑体" w:cs="黑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黑体" w:hAnsi="黑体" w:eastAsia="黑体" w:cs="黑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704320" behindDoc="0" locked="0" layoutInCell="1" allowOverlap="1">
            <wp:simplePos x="0" y="0"/>
            <wp:positionH relativeFrom="column">
              <wp:posOffset>687705</wp:posOffset>
            </wp:positionH>
            <wp:positionV relativeFrom="paragraph">
              <wp:posOffset>127635</wp:posOffset>
            </wp:positionV>
            <wp:extent cx="384175" cy="398145"/>
            <wp:effectExtent l="0" t="0" r="15875" b="1905"/>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384175" cy="398145"/>
                    </a:xfrm>
                    <a:prstGeom prst="rect">
                      <a:avLst/>
                    </a:prstGeom>
                    <a:noFill/>
                    <a:ln w="9525">
                      <a:noFill/>
                      <a:miter lim="800000"/>
                      <a:headEnd/>
                      <a:tailEnd/>
                    </a:ln>
                  </pic:spPr>
                </pic:pic>
              </a:graphicData>
            </a:graphic>
          </wp:anchor>
        </w:drawing>
      </w: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     年    月    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bookmarkStart w:id="22" w:name="_GoBack"/>
      <w:bookmarkEnd w:id="22"/>
      <w:r>
        <w:rPr>
          <w:rFonts w:hint="eastAsia"/>
          <w:b/>
          <w:color w:val="000000" w:themeColor="text1"/>
          <w:lang w:val="en-US" w:eastAsia="zh-CN"/>
        </w:rPr>
        <w:t xml:space="preserve">    </w:t>
      </w:r>
      <w:r>
        <w:rPr>
          <w:rFonts w:hint="eastAsia"/>
          <w:b/>
          <w:color w:val="000000" w:themeColor="text1"/>
        </w:rPr>
        <w:t>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2B33"/>
    <w:multiLevelType w:val="singleLevel"/>
    <w:tmpl w:val="BDC22B33"/>
    <w:lvl w:ilvl="0" w:tentative="0">
      <w:start w:val="9"/>
      <w:numFmt w:val="decimal"/>
      <w:suff w:val="space"/>
      <w:lvlText w:val="%1."/>
      <w:lvlJc w:val="left"/>
    </w:lvl>
  </w:abstractNum>
  <w:abstractNum w:abstractNumId="1">
    <w:nsid w:val="D1CA5340"/>
    <w:multiLevelType w:val="singleLevel"/>
    <w:tmpl w:val="D1CA5340"/>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A14931"/>
    <w:multiLevelType w:val="singleLevel"/>
    <w:tmpl w:val="4EA14931"/>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848E73"/>
    <w:multiLevelType w:val="singleLevel"/>
    <w:tmpl w:val="64848E73"/>
    <w:lvl w:ilvl="0" w:tentative="0">
      <w:start w:val="5"/>
      <w:numFmt w:val="decimal"/>
      <w:suff w:val="space"/>
      <w:lvlText w:val="%1."/>
      <w:lvlJc w:val="left"/>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37C21"/>
    <w:rsid w:val="00337C21"/>
    <w:rsid w:val="00383757"/>
    <w:rsid w:val="008E61D0"/>
    <w:rsid w:val="00B22E06"/>
    <w:rsid w:val="00F7343B"/>
    <w:rsid w:val="01F97029"/>
    <w:rsid w:val="02D51E88"/>
    <w:rsid w:val="038C5E95"/>
    <w:rsid w:val="057B2544"/>
    <w:rsid w:val="05842C88"/>
    <w:rsid w:val="081C435E"/>
    <w:rsid w:val="093256ED"/>
    <w:rsid w:val="09604725"/>
    <w:rsid w:val="099C759E"/>
    <w:rsid w:val="0AF91854"/>
    <w:rsid w:val="0D0F78EB"/>
    <w:rsid w:val="0D8111F4"/>
    <w:rsid w:val="0DC563C2"/>
    <w:rsid w:val="0DE34F01"/>
    <w:rsid w:val="10C155CE"/>
    <w:rsid w:val="10C96875"/>
    <w:rsid w:val="12277068"/>
    <w:rsid w:val="126D6AFA"/>
    <w:rsid w:val="129200FA"/>
    <w:rsid w:val="13073637"/>
    <w:rsid w:val="132C74E6"/>
    <w:rsid w:val="139A7D40"/>
    <w:rsid w:val="139D0A0D"/>
    <w:rsid w:val="13C3401E"/>
    <w:rsid w:val="13C46A02"/>
    <w:rsid w:val="141F66A2"/>
    <w:rsid w:val="15295D34"/>
    <w:rsid w:val="15867D7E"/>
    <w:rsid w:val="18682DDF"/>
    <w:rsid w:val="18AB1073"/>
    <w:rsid w:val="1A0C2B3E"/>
    <w:rsid w:val="1AA87937"/>
    <w:rsid w:val="1ACC1ECA"/>
    <w:rsid w:val="1B1F529F"/>
    <w:rsid w:val="1B3E5A1E"/>
    <w:rsid w:val="1C043836"/>
    <w:rsid w:val="208B6847"/>
    <w:rsid w:val="20AF1A21"/>
    <w:rsid w:val="20CB3F8E"/>
    <w:rsid w:val="213B0C69"/>
    <w:rsid w:val="21E113AB"/>
    <w:rsid w:val="22292489"/>
    <w:rsid w:val="226E6C01"/>
    <w:rsid w:val="246B1DB0"/>
    <w:rsid w:val="24A86F40"/>
    <w:rsid w:val="263708CE"/>
    <w:rsid w:val="264E569A"/>
    <w:rsid w:val="268D13C7"/>
    <w:rsid w:val="26CC2ACE"/>
    <w:rsid w:val="27683581"/>
    <w:rsid w:val="277D3AD9"/>
    <w:rsid w:val="27C23723"/>
    <w:rsid w:val="286D0572"/>
    <w:rsid w:val="28A620B5"/>
    <w:rsid w:val="290342A6"/>
    <w:rsid w:val="294A40AA"/>
    <w:rsid w:val="298A7118"/>
    <w:rsid w:val="2BA46170"/>
    <w:rsid w:val="2D876D8E"/>
    <w:rsid w:val="2E91481F"/>
    <w:rsid w:val="30F05181"/>
    <w:rsid w:val="314531FC"/>
    <w:rsid w:val="3167544E"/>
    <w:rsid w:val="32051414"/>
    <w:rsid w:val="32192053"/>
    <w:rsid w:val="325F2C6F"/>
    <w:rsid w:val="34A76673"/>
    <w:rsid w:val="3540797B"/>
    <w:rsid w:val="386A0ED6"/>
    <w:rsid w:val="39391720"/>
    <w:rsid w:val="39CD15AF"/>
    <w:rsid w:val="3AC8513E"/>
    <w:rsid w:val="3C3C7ACA"/>
    <w:rsid w:val="3DF5227B"/>
    <w:rsid w:val="3F6D4B38"/>
    <w:rsid w:val="42446704"/>
    <w:rsid w:val="42E25613"/>
    <w:rsid w:val="42F7686E"/>
    <w:rsid w:val="43751A64"/>
    <w:rsid w:val="445D29F7"/>
    <w:rsid w:val="44676AAD"/>
    <w:rsid w:val="448C62A9"/>
    <w:rsid w:val="44AE4486"/>
    <w:rsid w:val="45645739"/>
    <w:rsid w:val="45987C53"/>
    <w:rsid w:val="45C27A59"/>
    <w:rsid w:val="46314412"/>
    <w:rsid w:val="46F03EB1"/>
    <w:rsid w:val="48C72F9F"/>
    <w:rsid w:val="48EF1A16"/>
    <w:rsid w:val="4974767C"/>
    <w:rsid w:val="4A146C9A"/>
    <w:rsid w:val="4B0745A7"/>
    <w:rsid w:val="4C1B1598"/>
    <w:rsid w:val="4CA207F2"/>
    <w:rsid w:val="4E173310"/>
    <w:rsid w:val="4ED21750"/>
    <w:rsid w:val="4F5C043D"/>
    <w:rsid w:val="503166C6"/>
    <w:rsid w:val="52B9778F"/>
    <w:rsid w:val="53A22B53"/>
    <w:rsid w:val="54E7403D"/>
    <w:rsid w:val="564847D8"/>
    <w:rsid w:val="564B190F"/>
    <w:rsid w:val="56A9769E"/>
    <w:rsid w:val="56DA3FF0"/>
    <w:rsid w:val="57625523"/>
    <w:rsid w:val="582C5359"/>
    <w:rsid w:val="586A1B44"/>
    <w:rsid w:val="5D826092"/>
    <w:rsid w:val="5F8A4764"/>
    <w:rsid w:val="60741A04"/>
    <w:rsid w:val="614B209F"/>
    <w:rsid w:val="627E6E51"/>
    <w:rsid w:val="62AE10EA"/>
    <w:rsid w:val="632D4FF2"/>
    <w:rsid w:val="64512F81"/>
    <w:rsid w:val="67460EEF"/>
    <w:rsid w:val="69392A6C"/>
    <w:rsid w:val="69516379"/>
    <w:rsid w:val="6A4A42A5"/>
    <w:rsid w:val="6AAE364F"/>
    <w:rsid w:val="6AF56B2E"/>
    <w:rsid w:val="6B88775E"/>
    <w:rsid w:val="6C0A1D6C"/>
    <w:rsid w:val="6E88588C"/>
    <w:rsid w:val="6EF3237A"/>
    <w:rsid w:val="6FAF7E78"/>
    <w:rsid w:val="6FC03789"/>
    <w:rsid w:val="70AE2AD3"/>
    <w:rsid w:val="73AC0217"/>
    <w:rsid w:val="75401CFE"/>
    <w:rsid w:val="756B63B1"/>
    <w:rsid w:val="76D0755C"/>
    <w:rsid w:val="776C762C"/>
    <w:rsid w:val="782628E7"/>
    <w:rsid w:val="783D2EF7"/>
    <w:rsid w:val="78BE2557"/>
    <w:rsid w:val="78DD6CAE"/>
    <w:rsid w:val="798B152D"/>
    <w:rsid w:val="7997421B"/>
    <w:rsid w:val="7A2E5E77"/>
    <w:rsid w:val="7C797075"/>
    <w:rsid w:val="7D5D26D0"/>
    <w:rsid w:val="7D865547"/>
    <w:rsid w:val="7E4A5C75"/>
    <w:rsid w:val="7ECE406F"/>
    <w:rsid w:val="7EFD7D4A"/>
    <w:rsid w:val="7F0F3A06"/>
    <w:rsid w:val="7F347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1304</Words>
  <Characters>7435</Characters>
  <Lines>61</Lines>
  <Paragraphs>17</Paragraphs>
  <TotalTime>3</TotalTime>
  <ScaleCrop>false</ScaleCrop>
  <LinksUpToDate>false</LinksUpToDate>
  <CharactersWithSpaces>8722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2020-11-19T06:18:18Z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