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BA" w:rsidRDefault="0019618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管理体系一阶段审核记录表</w:t>
      </w:r>
    </w:p>
    <w:p w:rsidR="00DC46BA" w:rsidRDefault="00DC46B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1076"/>
        <w:gridCol w:w="11215"/>
      </w:tblGrid>
      <w:tr w:rsidR="00F80875" w:rsidTr="00F80875">
        <w:trPr>
          <w:trHeight w:val="5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F80875" w:rsidRDefault="00F8087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F80875" w:rsidRDefault="00F80875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ascii="宋体" w:hAnsi="宋体" w:hint="eastAsia"/>
              </w:rPr>
              <w:t>管理层、办公室、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管领导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422310">
              <w:rPr>
                <w:rFonts w:hint="eastAsia"/>
                <w:szCs w:val="21"/>
              </w:rPr>
              <w:t>刘晓州</w:t>
            </w:r>
          </w:p>
        </w:tc>
      </w:tr>
      <w:tr w:rsidR="00F80875" w:rsidTr="00F80875">
        <w:trPr>
          <w:trHeight w:val="40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widowControl/>
              <w:jc w:val="left"/>
            </w:pP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 w:rsidP="00814AD6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7615FE">
              <w:rPr>
                <w:rFonts w:hint="eastAsia"/>
                <w:sz w:val="24"/>
                <w:szCs w:val="24"/>
              </w:rPr>
              <w:t>姜海军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ascii="宋体" w:hAnsi="宋体" w:hint="eastAsia"/>
              </w:rPr>
              <w:t>2020 年</w:t>
            </w:r>
            <w:r w:rsidR="004D6F20">
              <w:rPr>
                <w:rFonts w:ascii="宋体" w:hAnsi="宋体" w:hint="eastAsia"/>
              </w:rPr>
              <w:t>1</w:t>
            </w:r>
            <w:r w:rsidR="00814AD6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月</w:t>
            </w:r>
            <w:r w:rsidR="004D6F20">
              <w:rPr>
                <w:rFonts w:ascii="宋体" w:hAnsi="宋体" w:hint="eastAsia"/>
              </w:rPr>
              <w:t>1</w:t>
            </w:r>
            <w:r w:rsidR="00814AD6">
              <w:rPr>
                <w:rFonts w:ascii="宋体" w:hAnsi="宋体" w:hint="eastAsia"/>
              </w:rPr>
              <w:t>3-14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F80875" w:rsidTr="00F80875">
        <w:trPr>
          <w:trHeight w:val="51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widowControl/>
              <w:jc w:val="left"/>
            </w:pP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审核条款：见审核计划</w:t>
            </w:r>
          </w:p>
        </w:tc>
      </w:tr>
    </w:tbl>
    <w:p w:rsidR="00F80875" w:rsidRDefault="00F80875">
      <w:pPr>
        <w:spacing w:line="360" w:lineRule="auto"/>
        <w:rPr>
          <w:b/>
        </w:rPr>
      </w:pPr>
    </w:p>
    <w:p w:rsidR="00DC46BA" w:rsidRDefault="00DC46BA">
      <w:pPr>
        <w:rPr>
          <w:vanish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97"/>
        <w:gridCol w:w="1400"/>
      </w:tblGrid>
      <w:tr w:rsidR="00DC46BA">
        <w:trPr>
          <w:trHeight w:val="630"/>
          <w:tblHeader/>
        </w:trPr>
        <w:tc>
          <w:tcPr>
            <w:tcW w:w="675" w:type="dxa"/>
            <w:vAlign w:val="center"/>
          </w:tcPr>
          <w:p w:rsidR="00DC46BA" w:rsidRDefault="00280DE2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2297" w:type="dxa"/>
            <w:vAlign w:val="center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1400" w:type="dxa"/>
          </w:tcPr>
          <w:p w:rsidR="00DC46BA" w:rsidRDefault="00F80875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判定</w:t>
            </w:r>
          </w:p>
        </w:tc>
      </w:tr>
      <w:tr w:rsidR="00DC46BA">
        <w:trPr>
          <w:trHeight w:val="45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280DE2">
            <w:pPr>
              <w:adjustRightInd w:val="0"/>
              <w:spacing w:line="280" w:lineRule="exact"/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受审核组织概况（管理体系组织结构、产品覆盖范围、</w:t>
            </w:r>
            <w:r>
              <w:rPr>
                <w:rFonts w:ascii="宋体" w:hAnsi="宋体" w:hint="eastAsia"/>
                <w:b/>
                <w:szCs w:val="21"/>
              </w:rPr>
              <w:lastRenderedPageBreak/>
              <w:t>过程和运作场所等情况）: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受审核组织概况（管理体系组织结构、产品覆盖范围、过程和运作场所等情况）: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</w:tr>
      <w:tr w:rsidR="00DC46BA">
        <w:trPr>
          <w:trHeight w:val="130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1、</w:t>
            </w:r>
            <w:proofErr w:type="gramStart"/>
            <w:r>
              <w:rPr>
                <w:rFonts w:ascii="宋体" w:hAnsi="宋体" w:hint="eastAsia"/>
              </w:rPr>
              <w:t>查最高</w:t>
            </w:r>
            <w:proofErr w:type="gramEnd"/>
            <w:r>
              <w:rPr>
                <w:rFonts w:ascii="宋体" w:hAnsi="宋体" w:hint="eastAsia"/>
              </w:rPr>
              <w:t>管理层及管理者代表（适用时）：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）组织的最高管理者：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7615FE" w:rsidRPr="007615FE">
              <w:rPr>
                <w:rFonts w:ascii="宋体" w:hAnsi="宋体" w:hint="eastAsia"/>
                <w:u w:val="single"/>
              </w:rPr>
              <w:t>刘晓州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，与组织的文件：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任命管理者代表：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7615FE" w:rsidRPr="007615FE">
              <w:rPr>
                <w:rFonts w:ascii="宋体" w:hAnsi="宋体" w:hint="eastAsia"/>
                <w:u w:val="single"/>
              </w:rPr>
              <w:t>李婷婷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，与组织的任命：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2074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2、体系人数：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）组织人数：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3322A4">
              <w:rPr>
                <w:rFonts w:ascii="宋体" w:hAnsi="宋体" w:hint="eastAsia"/>
                <w:u w:val="single"/>
              </w:rPr>
              <w:t>2</w:t>
            </w:r>
            <w:r w:rsidR="00C32626">
              <w:rPr>
                <w:rFonts w:ascii="宋体" w:hAnsi="宋体" w:hint="eastAsia"/>
                <w:u w:val="single"/>
              </w:rPr>
              <w:t>5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人；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）各体系人数：</w:t>
            </w:r>
            <w:r>
              <w:rPr>
                <w:rFonts w:ascii="宋体" w:hAnsi="宋体"/>
              </w:rPr>
              <w:t>Q</w:t>
            </w:r>
            <w:r>
              <w:rPr>
                <w:rFonts w:ascii="宋体" w:hAnsi="宋体" w:hint="eastAsia"/>
              </w:rPr>
              <w:t>/EC/MD：</w:t>
            </w:r>
            <w:r w:rsidR="003322A4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>E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  <w:u w:val="single"/>
              </w:rPr>
              <w:t xml:space="preserve"> </w:t>
            </w:r>
            <w:r w:rsidR="003322A4">
              <w:rPr>
                <w:rFonts w:ascii="宋体" w:hAnsi="宋体" w:hint="eastAsia"/>
                <w:u w:val="single"/>
              </w:rPr>
              <w:t>2</w:t>
            </w:r>
            <w:r w:rsidR="009C4740">
              <w:rPr>
                <w:rFonts w:ascii="宋体" w:hAnsi="宋体" w:hint="eastAsia"/>
                <w:u w:val="single"/>
              </w:rPr>
              <w:t>0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3322A4">
              <w:rPr>
                <w:rFonts w:ascii="宋体" w:hAnsi="宋体" w:hint="eastAsia"/>
                <w:u w:val="single"/>
              </w:rPr>
              <w:t>2</w:t>
            </w:r>
            <w:r w:rsidR="009C4740">
              <w:rPr>
                <w:rFonts w:ascii="宋体" w:hAnsi="宋体" w:hint="eastAsia"/>
                <w:u w:val="single"/>
              </w:rPr>
              <w:t>0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人； 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当组织人数与体系人数不一致时，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说明：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DC46BA" w:rsidRDefault="0019618A">
            <w:pPr>
              <w:adjustRightInd w:val="0"/>
              <w:spacing w:line="280" w:lineRule="exact"/>
              <w:jc w:val="left"/>
            </w:pPr>
            <w:proofErr w:type="gramStart"/>
            <w:r>
              <w:rPr>
                <w:rFonts w:ascii="宋体" w:hAnsi="宋体" w:hint="eastAsia"/>
                <w:szCs w:val="21"/>
              </w:rPr>
              <w:t>非长期</w:t>
            </w:r>
            <w:proofErr w:type="gramEnd"/>
            <w:r>
              <w:rPr>
                <w:rFonts w:ascii="宋体" w:hAnsi="宋体" w:hint="eastAsia"/>
                <w:szCs w:val="21"/>
              </w:rPr>
              <w:t>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384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3、组织机构设置：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）部门（分公司、车间）设置为：</w:t>
            </w:r>
          </w:p>
          <w:p w:rsidR="00DC46BA" w:rsidRDefault="0019618A">
            <w:pPr>
              <w:adjustRightInd w:val="0"/>
              <w:spacing w:line="280" w:lineRule="exact"/>
              <w:ind w:firstLineChars="200" w:firstLine="42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办公室、供销部、质检部。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color w:val="1F497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2）组织存在多场所（</w:t>
            </w:r>
            <w:proofErr w:type="gramStart"/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int="eastAsia"/>
                <w:szCs w:val="21"/>
              </w:rPr>
              <w:t>临时</w:t>
            </w:r>
            <w:proofErr w:type="gramEnd"/>
            <w:r>
              <w:rPr>
                <w:rFonts w:ascii="宋体" w:hint="eastAsia"/>
                <w:szCs w:val="21"/>
              </w:rPr>
              <w:t>多场所）</w:t>
            </w:r>
            <w:r>
              <w:rPr>
                <w:rFonts w:ascii="宋体" w:hAnsi="宋体" w:hint="eastAsia"/>
                <w:szCs w:val="21"/>
              </w:rPr>
              <w:t>、生产线情况：</w:t>
            </w:r>
            <w:r>
              <w:rPr>
                <w:rFonts w:ascii="宋体" w:hint="eastAsia"/>
                <w:color w:val="1F497D"/>
                <w:szCs w:val="21"/>
              </w:rPr>
              <w:t xml:space="preserve"> 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■不存在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》一致。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》不一致，说明：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3）组织管理体系文件中的组织机构设置和职责的规定与组织情况：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不一致，对不一致情况的改进要求：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171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4、关键场所（针对E、S时，关注如车间、污水处理站、锅炉房、危险化学品仓库、重要设备设施所在的场所等）为：</w:t>
            </w:r>
          </w:p>
          <w:p w:rsidR="00DC46BA" w:rsidRDefault="0019618A">
            <w:pPr>
              <w:adjustRightInd w:val="0"/>
              <w:spacing w:line="280" w:lineRule="exact"/>
              <w:ind w:firstLineChars="100" w:firstLine="21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/>
                <w:szCs w:val="21"/>
                <w:u w:val="single"/>
              </w:rPr>
              <w:t>办公室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查部门</w:t>
            </w:r>
            <w:proofErr w:type="gramEnd"/>
            <w:r>
              <w:rPr>
                <w:rFonts w:ascii="宋体" w:hAnsi="宋体" w:hint="eastAsia"/>
                <w:szCs w:val="21"/>
              </w:rPr>
              <w:t>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73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5、体系覆盖产品、服务、活动范围为：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 w:rsidR="00221A93" w:rsidRPr="00CA303E" w:rsidRDefault="00221A93" w:rsidP="00221A93">
            <w:pPr>
              <w:rPr>
                <w:color w:val="000000"/>
                <w:szCs w:val="21"/>
              </w:rPr>
            </w:pPr>
            <w:bookmarkStart w:id="0" w:name="审核范围"/>
            <w:r w:rsidRPr="00CA303E">
              <w:rPr>
                <w:rFonts w:ascii="宋体" w:hAnsi="宋体" w:hint="eastAsia"/>
                <w:szCs w:val="21"/>
              </w:rPr>
              <w:t>E：</w:t>
            </w:r>
            <w:r w:rsidR="007615FE">
              <w:rPr>
                <w:rFonts w:hint="eastAsia"/>
                <w:sz w:val="20"/>
              </w:rPr>
              <w:t>皮带输送机及配件、管材、管件的销售</w:t>
            </w:r>
            <w:r w:rsidR="00C32626">
              <w:rPr>
                <w:rFonts w:ascii="宋体" w:hAnsi="宋体" w:hint="eastAsia"/>
                <w:szCs w:val="21"/>
              </w:rPr>
              <w:t>所涉及场所的相关环境管理活动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:rsidR="00DC46BA" w:rsidRDefault="00221A93" w:rsidP="00221A93">
            <w:pPr>
              <w:spacing w:line="0" w:lineRule="atLeast"/>
              <w:jc w:val="left"/>
              <w:rPr>
                <w:rFonts w:ascii="宋体" w:hAnsi="宋体"/>
                <w:szCs w:val="21"/>
                <w:u w:val="single"/>
              </w:rPr>
            </w:pPr>
            <w:r w:rsidRPr="00CA303E">
              <w:rPr>
                <w:rFonts w:ascii="宋体" w:hAnsi="宋体" w:hint="eastAsia"/>
                <w:szCs w:val="21"/>
              </w:rPr>
              <w:t>O：</w:t>
            </w:r>
            <w:bookmarkEnd w:id="0"/>
            <w:r w:rsidR="007615FE">
              <w:rPr>
                <w:rFonts w:hint="eastAsia"/>
                <w:sz w:val="20"/>
              </w:rPr>
              <w:t>皮带输送机及配件、管材、管件的销售</w:t>
            </w:r>
            <w:r w:rsidR="00C32626">
              <w:t>所涉及场所的相关职业健康安全管理活动</w:t>
            </w:r>
            <w:r w:rsidR="0019618A">
              <w:rPr>
                <w:rFonts w:ascii="宋体" w:hAnsi="宋体" w:cs="宋体" w:hint="eastAsia"/>
                <w:kern w:val="0"/>
                <w:szCs w:val="21"/>
                <w:u w:val="single"/>
              </w:rPr>
              <w:t>；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确认体系文件中描述的、与申请的、与实际的是否一致：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ascii="宋体" w:hAnsi="宋体" w:hint="eastAsia"/>
                <w:color w:val="000000"/>
                <w:szCs w:val="21"/>
              </w:rPr>
              <w:t>）有无删减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或不适用的条款、要求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□无　</w:t>
            </w:r>
          </w:p>
          <w:p w:rsidR="00DC46BA" w:rsidRDefault="00BD319E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有，条款及要求：</w:t>
            </w:r>
            <w:r w:rsidR="001961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1961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:rsidR="00DC46BA" w:rsidRPr="0074378E" w:rsidRDefault="00BD319E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删减</w:t>
            </w:r>
            <w:r w:rsidR="0019618A">
              <w:rPr>
                <w:rFonts w:ascii="宋体" w:hAnsi="宋体" w:hint="eastAsia"/>
                <w:color w:val="1F497D"/>
                <w:szCs w:val="21"/>
              </w:rPr>
              <w:t>或不适用合理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，理由：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19618A" w:rsidRPr="0074378E">
              <w:rPr>
                <w:rFonts w:ascii="宋体" w:hAnsi="宋体" w:hint="eastAsia"/>
                <w:color w:val="000000"/>
                <w:szCs w:val="21"/>
                <w:u w:val="single"/>
              </w:rPr>
              <w:t>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</w:t>
            </w:r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r>
              <w:rPr>
                <w:rFonts w:ascii="宋体" w:hAnsi="宋体" w:hint="eastAsia"/>
                <w:color w:val="1F497D"/>
                <w:szCs w:val="21"/>
              </w:rPr>
              <w:t>合理</w:t>
            </w:r>
            <w:r>
              <w:rPr>
                <w:rFonts w:ascii="宋体" w:hAnsi="宋体" w:hint="eastAsia"/>
                <w:color w:val="000000"/>
                <w:szCs w:val="21"/>
              </w:rPr>
              <w:t>，说明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40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280DE2">
            <w:pPr>
              <w:adjustRightInd w:val="0"/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lastRenderedPageBreak/>
              <w:t>管理体系文件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</w:rPr>
              <w:t>管理体系文件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141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 w:rsidR="001F4A48">
              <w:rPr>
                <w:rFonts w:ascii="宋体" w:hAnsi="宋体" w:hint="eastAsia"/>
                <w:u w:val="single"/>
              </w:rPr>
              <w:t>2020</w:t>
            </w:r>
            <w:r>
              <w:rPr>
                <w:rFonts w:ascii="宋体" w:hAnsi="宋体" w:hint="eastAsia"/>
                <w:u w:val="single"/>
              </w:rPr>
              <w:t>年</w:t>
            </w:r>
            <w:r w:rsidR="007615FE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 月</w:t>
            </w:r>
            <w:r>
              <w:rPr>
                <w:rFonts w:ascii="宋体" w:hAnsi="宋体" w:hint="eastAsia"/>
              </w:rPr>
              <w:t>开始贯标工作：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自行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1967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建立的管理体系文件，包括：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程序</w:t>
            </w:r>
            <w:r>
              <w:rPr>
                <w:rFonts w:ascii="宋体" w:hAnsi="宋体" w:hint="eastAsia"/>
                <w:szCs w:val="22"/>
              </w:rPr>
              <w:t xml:space="preserve"> ；■管理体系范围；■方针；■目标 ；■作业文件 ；■记录等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■必需的运行控制文件，如：</w:t>
            </w:r>
          </w:p>
          <w:p w:rsidR="00DC46BA" w:rsidRDefault="0019618A" w:rsidP="00BD319E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管理制度</w:t>
            </w:r>
            <w:r w:rsidR="00BD319E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DC46BA">
            <w:pPr>
              <w:adjustRightInd w:val="0"/>
              <w:spacing w:line="360" w:lineRule="auto"/>
            </w:pPr>
          </w:p>
          <w:p w:rsidR="00DC46BA" w:rsidRDefault="0019618A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C46BA">
        <w:trPr>
          <w:trHeight w:val="2843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  <w:szCs w:val="22"/>
              </w:rPr>
              <w:t>、该组织管理体系于  20</w:t>
            </w:r>
            <w:r w:rsidR="00BD319E"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 w:hint="eastAsia"/>
                <w:szCs w:val="22"/>
              </w:rPr>
              <w:t>年</w:t>
            </w:r>
            <w:r w:rsidR="007615FE"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月</w:t>
            </w:r>
            <w:r w:rsidR="009C4740">
              <w:rPr>
                <w:rFonts w:ascii="宋体" w:hAnsi="宋体" w:hint="eastAsia"/>
                <w:szCs w:val="22"/>
              </w:rPr>
              <w:t>1</w:t>
            </w:r>
            <w:r w:rsidR="007615FE"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 w:hint="eastAsia"/>
                <w:szCs w:val="22"/>
              </w:rPr>
              <w:t>日 开始正式运行，管理体系文件评价见文件审核报告。验证文件评审报告所提出问题的纠正：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□文件评审未提出问题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■验证修订的文件资料，已纠正，符合；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□</w:t>
            </w:r>
            <w:proofErr w:type="gramStart"/>
            <w:r>
              <w:rPr>
                <w:rFonts w:ascii="宋体" w:hAnsi="宋体" w:hint="eastAsia"/>
                <w:szCs w:val="22"/>
              </w:rPr>
              <w:t>纠正仍</w:t>
            </w:r>
            <w:proofErr w:type="gramEnd"/>
            <w:r>
              <w:rPr>
                <w:rFonts w:ascii="宋体" w:hAnsi="宋体" w:hint="eastAsia"/>
                <w:szCs w:val="22"/>
              </w:rPr>
              <w:t xml:space="preserve">存在问题，具体是：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□需要补充的文件问题有：  </w:t>
            </w:r>
          </w:p>
          <w:p w:rsidR="00DC46BA" w:rsidRDefault="00DC46B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19618A"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4、结合该组织现场实际情况、内审、管理评审实施情况、体系文件的实施情况，确认组织管理体系运行时间：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</w:t>
            </w:r>
          </w:p>
          <w:p w:rsidR="00DC46BA" w:rsidRDefault="0019618A"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月。中断审核前需要向审核部汇报并获得批准。）</w:t>
            </w:r>
          </w:p>
          <w:p w:rsidR="00DC46BA" w:rsidRDefault="00DC46BA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ok</w:t>
            </w:r>
          </w:p>
        </w:tc>
      </w:tr>
      <w:tr w:rsidR="00DC46BA">
        <w:trPr>
          <w:trHeight w:val="420"/>
        </w:trPr>
        <w:tc>
          <w:tcPr>
            <w:tcW w:w="675" w:type="dxa"/>
            <w:vMerge w:val="restart"/>
          </w:tcPr>
          <w:p w:rsidR="00DC46BA" w:rsidRDefault="00280DE2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szCs w:val="21"/>
              </w:rPr>
              <w:t>相关法律法规及其它要求的遵守情况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szCs w:val="21"/>
              </w:rPr>
              <w:t>相关法律法规及其它要求的遵守情况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397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组织提供了有效资质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证明</w:t>
            </w:r>
            <w:r>
              <w:rPr>
                <w:rFonts w:ascii="宋体" w:hAnsi="宋体" w:hint="eastAsia"/>
              </w:rPr>
              <w:t>，包括：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>组织的</w:t>
            </w:r>
            <w:r>
              <w:rPr>
                <w:rFonts w:ascii="宋体" w:hAnsi="宋体" w:hint="eastAsia"/>
                <w:color w:val="000000"/>
              </w:rPr>
              <w:t>营业执照；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生产许可证；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排污许可证；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环评报告；</w:t>
            </w:r>
            <w:r>
              <w:rPr>
                <w:rFonts w:ascii="宋体" w:hAnsi="宋体" w:hint="eastAsia"/>
              </w:rPr>
              <w:t>□</w:t>
            </w:r>
            <w:proofErr w:type="gramStart"/>
            <w:r>
              <w:rPr>
                <w:rFonts w:ascii="宋体" w:hAnsi="宋体" w:hint="eastAsia"/>
              </w:rPr>
              <w:t>安评报告</w:t>
            </w:r>
            <w:proofErr w:type="gramEnd"/>
            <w:r>
              <w:rPr>
                <w:rFonts w:ascii="宋体" w:hAnsi="宋体" w:hint="eastAsia"/>
              </w:rPr>
              <w:t>；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三同时验收报告；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安全生产许可证；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危险化学品销售许可证；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运输许可证；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3C</w:t>
            </w:r>
            <w:r>
              <w:rPr>
                <w:rFonts w:ascii="宋体" w:hAnsi="宋体" w:hint="eastAsia"/>
                <w:color w:val="000000"/>
                <w:szCs w:val="21"/>
              </w:rPr>
              <w:t>证书；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QS</w:t>
            </w:r>
            <w:r>
              <w:rPr>
                <w:rFonts w:ascii="宋体" w:hAnsi="宋体" w:hint="eastAsia"/>
                <w:color w:val="000000"/>
                <w:szCs w:val="21"/>
              </w:rPr>
              <w:t>证书；</w:t>
            </w:r>
            <w:r>
              <w:rPr>
                <w:rFonts w:ascii="宋体" w:hAnsi="宋体" w:hint="eastAsia"/>
              </w:rPr>
              <w:t>□其他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       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□未提供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说明：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□有怀疑，包括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u w:val="single"/>
              </w:rPr>
              <w:t xml:space="preserve">　　</w:t>
            </w:r>
            <w:r>
              <w:rPr>
                <w:rFonts w:ascii="宋体" w:hAnsi="宋体"/>
                <w:u w:val="single"/>
              </w:rPr>
              <w:t xml:space="preserve">   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核实记录：</w:t>
            </w:r>
            <w:r>
              <w:rPr>
                <w:rFonts w:ascii="宋体" w:hAnsi="宋体"/>
                <w:u w:val="single"/>
              </w:rPr>
              <w:t xml:space="preserve">                      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C46BA">
        <w:trPr>
          <w:trHeight w:val="169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、组织识别了适用的法律、法规、标准和规范，主要包括：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4"/>
                <w:u w:val="single"/>
              </w:rPr>
              <w:t>环保法、质量法、消防法、劳动法、</w:t>
            </w:r>
            <w:r>
              <w:rPr>
                <w:rFonts w:ascii="宋体" w:hAnsi="宋体" w:hint="eastAsia"/>
                <w:szCs w:val="21"/>
                <w:u w:val="single"/>
              </w:rPr>
              <w:t>节约能源法</w:t>
            </w:r>
            <w:r>
              <w:rPr>
                <w:rFonts w:ascii="宋体" w:hAnsi="宋体" w:hint="eastAsia"/>
                <w:szCs w:val="24"/>
                <w:u w:val="single"/>
              </w:rPr>
              <w:t>、商品经营服务质量管理规范。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漏识别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C46BA">
        <w:trPr>
          <w:trHeight w:val="223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3、组织的产品质量、环境影响、职业健康安全受到相关方的投诉</w:t>
            </w:r>
            <w:r>
              <w:rPr>
                <w:rFonts w:ascii="宋体" w:hAnsi="宋体"/>
                <w:szCs w:val="21"/>
              </w:rPr>
              <w:t>: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■否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□是，说明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 xml:space="preserve">　　　　　</w:t>
            </w:r>
            <w:proofErr w:type="gramEnd"/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C46BA">
        <w:trPr>
          <w:trHeight w:val="405"/>
          <w:tblHeader/>
        </w:trPr>
        <w:tc>
          <w:tcPr>
            <w:tcW w:w="675" w:type="dxa"/>
            <w:vMerge w:val="restart"/>
          </w:tcPr>
          <w:p w:rsidR="00DC46BA" w:rsidRDefault="009974E1" w:rsidP="009974E1">
            <w:pPr>
              <w:adjustRightInd w:val="0"/>
              <w:spacing w:line="360" w:lineRule="auto"/>
            </w:pPr>
            <w:r>
              <w:rPr>
                <w:rFonts w:ascii="宋体" w:hAnsi="宋体" w:hint="eastAsia"/>
                <w:szCs w:val="21"/>
              </w:rPr>
              <w:t>方针、目标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管理体系的方针、目标/指标/措施方案及实现情况：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2998"/>
          <w:tblHeader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1、管理体系的</w:t>
            </w:r>
            <w:r>
              <w:rPr>
                <w:rFonts w:ascii="宋体" w:hAnsi="宋体" w:hint="eastAsia"/>
                <w:color w:val="4F81BD"/>
                <w:szCs w:val="21"/>
              </w:rPr>
              <w:t>方针：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hint="eastAsia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目标、指标、措施方案：</w:t>
            </w:r>
          </w:p>
          <w:p w:rsidR="00DC46BA" w:rsidRDefault="00907EF8">
            <w:pPr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手册内明确了</w:t>
            </w:r>
            <w:r w:rsidR="0019618A">
              <w:rPr>
                <w:rFonts w:ascii="宋体" w:hAnsi="宋体" w:hint="eastAsia"/>
                <w:szCs w:val="21"/>
                <w:u w:val="single"/>
              </w:rPr>
              <w:t>质量目标</w:t>
            </w:r>
            <w:r>
              <w:rPr>
                <w:rFonts w:ascii="宋体" w:hAnsi="宋体" w:hint="eastAsia"/>
                <w:szCs w:val="21"/>
                <w:u w:val="single"/>
              </w:rPr>
              <w:t>、</w:t>
            </w:r>
            <w:r w:rsidR="0019618A">
              <w:rPr>
                <w:rFonts w:ascii="宋体" w:hAnsi="宋体" w:hint="eastAsia"/>
                <w:szCs w:val="21"/>
                <w:u w:val="single"/>
              </w:rPr>
              <w:t xml:space="preserve">环境和职业健康与安全目标，制定了管理方案　　</w:t>
            </w:r>
            <w:proofErr w:type="gramStart"/>
            <w:r w:rsidR="0019618A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="00907EF8">
              <w:rPr>
                <w:rFonts w:ascii="宋体" w:hAnsi="宋体" w:hint="eastAsia"/>
                <w:szCs w:val="21"/>
                <w:u w:val="single"/>
              </w:rPr>
              <w:t>企业已进行了分解。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无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400" w:type="dxa"/>
          </w:tcPr>
          <w:p w:rsidR="00DC46BA" w:rsidRDefault="00907EF8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C46BA">
        <w:trPr>
          <w:trHeight w:val="435"/>
        </w:trPr>
        <w:tc>
          <w:tcPr>
            <w:tcW w:w="675" w:type="dxa"/>
            <w:vMerge w:val="restart"/>
          </w:tcPr>
          <w:p w:rsidR="00DC46BA" w:rsidRDefault="009974E1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内审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400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pStyle w:val="1"/>
              <w:numPr>
                <w:ilvl w:val="0"/>
                <w:numId w:val="1"/>
              </w:numPr>
              <w:adjustRightInd w:val="0"/>
              <w:spacing w:line="360" w:lineRule="auto"/>
              <w:ind w:left="0" w:firstLineChars="0" w:firstLine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规定的内审频次：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、本次内审于</w:t>
            </w:r>
            <w:r>
              <w:rPr>
                <w:rFonts w:ascii="宋体" w:hAnsi="宋体" w:hint="eastAsia"/>
                <w:u w:val="single"/>
              </w:rPr>
              <w:t xml:space="preserve">　2020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F4A48">
              <w:rPr>
                <w:rFonts w:ascii="宋体" w:hAnsi="宋体" w:hint="eastAsia"/>
                <w:u w:val="single"/>
              </w:rPr>
              <w:t>7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F4A48">
              <w:rPr>
                <w:rFonts w:ascii="宋体" w:hAnsi="宋体" w:hint="eastAsia"/>
                <w:u w:val="single"/>
              </w:rPr>
              <w:t>1</w:t>
            </w:r>
            <w:r w:rsidR="00814AD6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F4A48">
              <w:rPr>
                <w:rFonts w:ascii="宋体" w:hAnsi="宋体" w:hint="eastAsia"/>
                <w:u w:val="single"/>
              </w:rPr>
              <w:t>1</w:t>
            </w:r>
            <w:r w:rsidR="00814AD6">
              <w:rPr>
                <w:rFonts w:ascii="宋体" w:hAnsi="宋体" w:hint="eastAsia"/>
                <w:u w:val="single"/>
              </w:rPr>
              <w:t>2</w:t>
            </w:r>
            <w:bookmarkStart w:id="1" w:name="_GoBack"/>
            <w:bookmarkEnd w:id="1"/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proofErr w:type="gramStart"/>
            <w:r>
              <w:rPr>
                <w:rFonts w:hint="eastAsia"/>
                <w:u w:val="single"/>
              </w:rPr>
              <w:t xml:space="preserve">　　　　　　　</w:t>
            </w:r>
            <w:proofErr w:type="gramEnd"/>
            <w:r>
              <w:rPr>
                <w:u w:val="single"/>
              </w:rPr>
              <w:t xml:space="preserve">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　</w:t>
            </w:r>
            <w:proofErr w:type="gramEnd"/>
            <w:r>
              <w:rPr>
                <w:u w:val="single"/>
              </w:rPr>
              <w:t xml:space="preserve">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 xml:space="preserve">□不合理：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proofErr w:type="gramStart"/>
            <w:r>
              <w:rPr>
                <w:rFonts w:hint="eastAsia"/>
              </w:rPr>
              <w:t>内审组人员</w:t>
            </w:r>
            <w:proofErr w:type="gramEnd"/>
            <w:r>
              <w:rPr>
                <w:rFonts w:hint="eastAsia"/>
              </w:rPr>
              <w:t>分工：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、内</w:t>
            </w:r>
            <w:proofErr w:type="gramStart"/>
            <w:r>
              <w:rPr>
                <w:rFonts w:ascii="宋体" w:hAnsi="宋体" w:hint="eastAsia"/>
              </w:rPr>
              <w:t>审报告</w:t>
            </w:r>
            <w:proofErr w:type="gramEnd"/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QMS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的有效性和符合性的结论：</w:t>
            </w:r>
            <w:r>
              <w:rPr>
                <w:rFonts w:ascii="宋体" w:hAnsi="宋体" w:hint="eastAsia"/>
                <w:u w:val="single"/>
              </w:rPr>
              <w:t xml:space="preserve">　　　　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　　公司的管理体系符合标准要求，体系运行有效。　　　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C46BA">
        <w:trPr>
          <w:trHeight w:val="474"/>
        </w:trPr>
        <w:tc>
          <w:tcPr>
            <w:tcW w:w="675" w:type="dxa"/>
            <w:vMerge w:val="restart"/>
          </w:tcPr>
          <w:p w:rsidR="00DC46BA" w:rsidRDefault="009974E1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管理评审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7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规定的管理评审频次：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；</w:t>
            </w:r>
          </w:p>
          <w:p w:rsidR="00DC46BA" w:rsidRDefault="0019618A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本次管理评审于</w:t>
            </w:r>
            <w:r>
              <w:rPr>
                <w:rFonts w:ascii="宋体" w:hAnsi="宋体" w:hint="eastAsia"/>
                <w:u w:val="single"/>
              </w:rPr>
              <w:t xml:space="preserve">　2020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F4A48">
              <w:rPr>
                <w:rFonts w:ascii="宋体" w:hAnsi="宋体" w:hint="eastAsia"/>
                <w:u w:val="single"/>
              </w:rPr>
              <w:t>7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F4A48">
              <w:rPr>
                <w:rFonts w:ascii="宋体" w:hAnsi="宋体" w:hint="eastAsia"/>
                <w:u w:val="single"/>
              </w:rPr>
              <w:t>2</w:t>
            </w:r>
            <w:r w:rsidR="007615FE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F4A48">
              <w:rPr>
                <w:rFonts w:ascii="宋体" w:hAnsi="宋体" w:hint="eastAsia"/>
                <w:u w:val="single"/>
              </w:rPr>
              <w:t>2</w:t>
            </w:r>
            <w:r w:rsidR="007615FE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日实施，由最高管理者：</w:t>
            </w:r>
            <w:r w:rsidR="007615FE" w:rsidRPr="007615FE">
              <w:rPr>
                <w:rFonts w:ascii="宋体" w:hAnsi="宋体" w:hint="eastAsia"/>
                <w:u w:val="single"/>
              </w:rPr>
              <w:t>刘晓州</w:t>
            </w:r>
            <w:r w:rsidR="00C36A6A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主持，实施方式：</w:t>
            </w:r>
            <w:r>
              <w:rPr>
                <w:rFonts w:ascii="宋体" w:hAnsi="宋体" w:hint="eastAsia"/>
                <w:u w:val="single"/>
              </w:rPr>
              <w:t xml:space="preserve">　会议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评审输入内容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DC46BA" w:rsidRDefault="0019618A">
            <w:pPr>
              <w:pStyle w:val="a3"/>
              <w:spacing w:after="0" w:line="360" w:lineRule="auto"/>
              <w:ind w:leftChars="0" w:left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、管理评审报告对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QMS</w:t>
            </w:r>
            <w:r>
              <w:rPr>
                <w:rFonts w:ascii="宋体" w:hAnsi="宋体" w:hint="eastAsia"/>
              </w:rPr>
              <w:t>/MDQMS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EMS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的适宜性、充分性和有效性的结论：</w:t>
            </w:r>
            <w:r>
              <w:rPr>
                <w:rFonts w:ascii="宋体" w:hAnsi="宋体" w:hint="eastAsia"/>
                <w:u w:val="single"/>
              </w:rPr>
              <w:t>公司的管理体系是适宜的、充分的和有效的，达到了顾客满意和持续改进的目的。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</w:tbl>
    <w:p w:rsidR="00DC46BA" w:rsidRDefault="00DC46BA"/>
    <w:p w:rsidR="00DC46BA" w:rsidRDefault="0019618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C46B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BB" w:rsidRDefault="000A7DBB">
      <w:r>
        <w:separator/>
      </w:r>
    </w:p>
  </w:endnote>
  <w:endnote w:type="continuationSeparator" w:id="0">
    <w:p w:rsidR="000A7DBB" w:rsidRDefault="000A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C46BA" w:rsidRDefault="0019618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4AD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4AD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46BA" w:rsidRDefault="00DC4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BB" w:rsidRDefault="000A7DBB">
      <w:r>
        <w:separator/>
      </w:r>
    </w:p>
  </w:footnote>
  <w:footnote w:type="continuationSeparator" w:id="0">
    <w:p w:rsidR="000A7DBB" w:rsidRDefault="000A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BA" w:rsidRDefault="0019618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C46BA" w:rsidRDefault="003675CE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C46BA" w:rsidRDefault="0019618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DC46BA" w:rsidRDefault="0019618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19618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9618A">
      <w:rPr>
        <w:rStyle w:val="CharChar1"/>
        <w:rFonts w:hint="default"/>
        <w:w w:val="90"/>
      </w:rPr>
      <w:t>Co.</w:t>
    </w:r>
    <w:proofErr w:type="gramStart"/>
    <w:r w:rsidR="0019618A">
      <w:rPr>
        <w:rStyle w:val="CharChar1"/>
        <w:rFonts w:hint="default"/>
        <w:w w:val="90"/>
      </w:rPr>
      <w:t>,Ltd</w:t>
    </w:r>
    <w:proofErr w:type="spellEnd"/>
    <w:proofErr w:type="gramEnd"/>
    <w:r w:rsidR="0019618A">
      <w:rPr>
        <w:rStyle w:val="CharChar1"/>
        <w:rFonts w:hint="default"/>
        <w:w w:val="90"/>
      </w:rPr>
      <w:t>.</w:t>
    </w:r>
  </w:p>
  <w:p w:rsidR="00DC46BA" w:rsidRDefault="00DC46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3373A"/>
    <w:rsid w:val="00060054"/>
    <w:rsid w:val="00074C0E"/>
    <w:rsid w:val="000A7DBB"/>
    <w:rsid w:val="000B6248"/>
    <w:rsid w:val="000C3ED3"/>
    <w:rsid w:val="00105A91"/>
    <w:rsid w:val="0017552D"/>
    <w:rsid w:val="0019618A"/>
    <w:rsid w:val="001A2D7F"/>
    <w:rsid w:val="001A7F36"/>
    <w:rsid w:val="001B046E"/>
    <w:rsid w:val="001D4C22"/>
    <w:rsid w:val="001F1C40"/>
    <w:rsid w:val="001F4A48"/>
    <w:rsid w:val="00221A93"/>
    <w:rsid w:val="00280DE2"/>
    <w:rsid w:val="002A61EC"/>
    <w:rsid w:val="002F73A2"/>
    <w:rsid w:val="003322A4"/>
    <w:rsid w:val="00337922"/>
    <w:rsid w:val="00340867"/>
    <w:rsid w:val="003675CE"/>
    <w:rsid w:val="00380837"/>
    <w:rsid w:val="003C32F3"/>
    <w:rsid w:val="00410914"/>
    <w:rsid w:val="00415094"/>
    <w:rsid w:val="00415799"/>
    <w:rsid w:val="004169C6"/>
    <w:rsid w:val="00422310"/>
    <w:rsid w:val="00451A33"/>
    <w:rsid w:val="00451DA2"/>
    <w:rsid w:val="004D6F20"/>
    <w:rsid w:val="004E2167"/>
    <w:rsid w:val="00535804"/>
    <w:rsid w:val="00536930"/>
    <w:rsid w:val="005430F0"/>
    <w:rsid w:val="00564E53"/>
    <w:rsid w:val="005803D3"/>
    <w:rsid w:val="00587685"/>
    <w:rsid w:val="005A4EA8"/>
    <w:rsid w:val="005E60A4"/>
    <w:rsid w:val="00623D1A"/>
    <w:rsid w:val="00644FE2"/>
    <w:rsid w:val="006522FC"/>
    <w:rsid w:val="0067640C"/>
    <w:rsid w:val="006A2397"/>
    <w:rsid w:val="006C013F"/>
    <w:rsid w:val="006C7DE7"/>
    <w:rsid w:val="006E678B"/>
    <w:rsid w:val="007209B6"/>
    <w:rsid w:val="00720D57"/>
    <w:rsid w:val="00730EDB"/>
    <w:rsid w:val="00732E96"/>
    <w:rsid w:val="0074378E"/>
    <w:rsid w:val="007615FE"/>
    <w:rsid w:val="007658D0"/>
    <w:rsid w:val="007757F3"/>
    <w:rsid w:val="00776F3F"/>
    <w:rsid w:val="00777A1C"/>
    <w:rsid w:val="00783EFC"/>
    <w:rsid w:val="007B7AFA"/>
    <w:rsid w:val="007C67EB"/>
    <w:rsid w:val="007E6AEB"/>
    <w:rsid w:val="00806119"/>
    <w:rsid w:val="00814AD6"/>
    <w:rsid w:val="00824194"/>
    <w:rsid w:val="00871C15"/>
    <w:rsid w:val="008973EE"/>
    <w:rsid w:val="008B0E17"/>
    <w:rsid w:val="008C7D6A"/>
    <w:rsid w:val="008E438A"/>
    <w:rsid w:val="00907EF8"/>
    <w:rsid w:val="00963B80"/>
    <w:rsid w:val="00971600"/>
    <w:rsid w:val="00977BD1"/>
    <w:rsid w:val="0098311E"/>
    <w:rsid w:val="009973B4"/>
    <w:rsid w:val="009974E1"/>
    <w:rsid w:val="009B305B"/>
    <w:rsid w:val="009C4740"/>
    <w:rsid w:val="009F7EED"/>
    <w:rsid w:val="00A165E5"/>
    <w:rsid w:val="00A25018"/>
    <w:rsid w:val="00A36241"/>
    <w:rsid w:val="00AC439C"/>
    <w:rsid w:val="00AF0AAB"/>
    <w:rsid w:val="00B258C1"/>
    <w:rsid w:val="00BD319E"/>
    <w:rsid w:val="00BF597E"/>
    <w:rsid w:val="00BF74E7"/>
    <w:rsid w:val="00C32626"/>
    <w:rsid w:val="00C36A6A"/>
    <w:rsid w:val="00C51A36"/>
    <w:rsid w:val="00C55228"/>
    <w:rsid w:val="00C8266A"/>
    <w:rsid w:val="00CE315A"/>
    <w:rsid w:val="00D04B22"/>
    <w:rsid w:val="00D06F59"/>
    <w:rsid w:val="00D22989"/>
    <w:rsid w:val="00D31DB6"/>
    <w:rsid w:val="00D416AC"/>
    <w:rsid w:val="00D8388C"/>
    <w:rsid w:val="00DA6B59"/>
    <w:rsid w:val="00DC46BA"/>
    <w:rsid w:val="00DC5ACC"/>
    <w:rsid w:val="00DC6CB6"/>
    <w:rsid w:val="00DE147C"/>
    <w:rsid w:val="00EB0164"/>
    <w:rsid w:val="00ED0F62"/>
    <w:rsid w:val="00ED624B"/>
    <w:rsid w:val="00F02674"/>
    <w:rsid w:val="00F71ED3"/>
    <w:rsid w:val="00F80875"/>
    <w:rsid w:val="00FE3795"/>
    <w:rsid w:val="108219C2"/>
    <w:rsid w:val="19142F08"/>
    <w:rsid w:val="1AD50E3D"/>
    <w:rsid w:val="49240F79"/>
    <w:rsid w:val="4A696F93"/>
    <w:rsid w:val="5EA12B9A"/>
    <w:rsid w:val="6A6C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10</cp:revision>
  <cp:lastPrinted>2019-06-14T02:57:00Z</cp:lastPrinted>
  <dcterms:created xsi:type="dcterms:W3CDTF">2020-07-04T13:44:00Z</dcterms:created>
  <dcterms:modified xsi:type="dcterms:W3CDTF">2021-01-17T06:23:00Z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