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0636-2020-Q</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重庆荣淇金属制品有限公司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rFonts w:hint="eastAsia"/>
                <w:b/>
                <w:color w:val="000000"/>
                <w:sz w:val="20"/>
                <w:szCs w:val="20"/>
              </w:rPr>
            </w:pPr>
            <w:r>
              <w:rPr>
                <w:rFonts w:hint="eastAsia"/>
                <w:b/>
                <w:color w:val="000000"/>
                <w:sz w:val="20"/>
                <w:szCs w:val="20"/>
              </w:rPr>
              <w:t>组内</w:t>
            </w:r>
          </w:p>
          <w:p>
            <w:pPr>
              <w:spacing w:line="240" w:lineRule="exact"/>
              <w:jc w:val="center"/>
              <w:rPr>
                <w:rFonts w:hint="eastAsia"/>
                <w:b/>
                <w:color w:val="000000"/>
                <w:sz w:val="20"/>
                <w:szCs w:val="20"/>
              </w:rPr>
            </w:pPr>
            <w:r>
              <w:rPr>
                <w:rFonts w:hint="eastAsia"/>
                <w:b/>
                <w:color w:val="000000"/>
                <w:sz w:val="20"/>
                <w:szCs w:val="20"/>
              </w:rPr>
              <w:t>身份</w:t>
            </w:r>
          </w:p>
        </w:tc>
        <w:tc>
          <w:tcPr>
            <w:tcW w:w="1417" w:type="dxa"/>
            <w:gridSpan w:val="2"/>
            <w:vAlign w:val="center"/>
          </w:tcPr>
          <w:p>
            <w:pPr>
              <w:spacing w:line="240" w:lineRule="exact"/>
              <w:jc w:val="center"/>
              <w:rPr>
                <w:rFonts w:hint="eastAsia"/>
                <w:b/>
                <w:color w:val="000000"/>
                <w:sz w:val="20"/>
                <w:szCs w:val="20"/>
              </w:rPr>
            </w:pPr>
            <w:r>
              <w:rPr>
                <w:rFonts w:hint="eastAsia"/>
                <w:b/>
                <w:color w:val="000000"/>
                <w:sz w:val="20"/>
                <w:szCs w:val="20"/>
              </w:rPr>
              <w:t>性别</w:t>
            </w:r>
          </w:p>
        </w:tc>
        <w:tc>
          <w:tcPr>
            <w:tcW w:w="3402" w:type="dxa"/>
            <w:gridSpan w:val="5"/>
            <w:vAlign w:val="center"/>
          </w:tcPr>
          <w:p>
            <w:pPr>
              <w:spacing w:line="240" w:lineRule="exact"/>
              <w:jc w:val="center"/>
              <w:rPr>
                <w:rFonts w:hint="eastAsia"/>
                <w:b/>
                <w:color w:val="000000"/>
                <w:sz w:val="20"/>
                <w:szCs w:val="20"/>
              </w:rPr>
            </w:pPr>
            <w:r>
              <w:rPr>
                <w:rFonts w:hint="eastAsia"/>
                <w:b/>
                <w:color w:val="000000"/>
                <w:sz w:val="20"/>
                <w:szCs w:val="20"/>
              </w:rPr>
              <w:t>注册资格</w:t>
            </w:r>
          </w:p>
        </w:tc>
        <w:tc>
          <w:tcPr>
            <w:tcW w:w="2179" w:type="dxa"/>
            <w:gridSpan w:val="2"/>
            <w:vAlign w:val="center"/>
          </w:tcPr>
          <w:p>
            <w:pPr>
              <w:spacing w:line="240" w:lineRule="exact"/>
              <w:jc w:val="center"/>
              <w:rPr>
                <w:rFonts w:hint="eastAsia"/>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14.02.01,17.02.00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重庆荣淇金属制品有限公司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重庆市江津区德感街道平溪路11号(优盾焊接材料公司1号厂房1层1、2号)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重庆市江津区德感街道平溪路11号(优盾焊接材料公司1号厂房1层1、2号)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蒋淇宣</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13983180242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彭秀兰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蒋淇宣</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波纹管（塑料和钢带）、声测管的生产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14.02.01;17.02.00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管理层、技质部、生产部、供销部、行政部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w:t>
            </w:r>
            <w:r>
              <w:rPr>
                <w:rFonts w:hint="eastAsia" w:ascii="宋体" w:hAnsi="宋体"/>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波纹管（塑料和钢带）、声测管的生产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管理层、技质部、生产部、供销部、行政部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质量管理部门：技质部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重庆市江津区德感街道平溪路11号(优盾焊接材料公司1号厂房1层1、2号)</w:t>
            </w:r>
            <w:bookmarkEnd w:id="24"/>
          </w:p>
          <w:p>
            <w:pPr>
              <w:tabs>
                <w:tab w:val="left" w:pos="360"/>
              </w:tabs>
              <w:ind w:left="357" w:hanging="357"/>
              <w:rPr>
                <w:rFonts w:ascii="宋体"/>
                <w:sz w:val="20"/>
                <w:szCs w:val="20"/>
              </w:rPr>
            </w:pPr>
            <w:r>
              <w:rPr>
                <w:rFonts w:hint="eastAsia" w:ascii="宋体" w:hAnsi="宋体"/>
                <w:color w:val="000000"/>
                <w:sz w:val="20"/>
                <w:szCs w:val="20"/>
              </w:rPr>
              <w:t>其使用的建筑设</w:t>
            </w:r>
            <w:r>
              <w:rPr>
                <w:rFonts w:hint="eastAsia" w:ascii="宋体" w:hAnsi="宋体"/>
                <w:sz w:val="20"/>
                <w:szCs w:val="20"/>
              </w:rPr>
              <w:t>施是：</w:t>
            </w:r>
            <w:r>
              <w:rPr>
                <w:rFonts w:hint="eastAsia" w:ascii="宋体" w:hAnsi="宋体"/>
                <w:spacing w:val="-10"/>
                <w:sz w:val="20"/>
                <w:szCs w:val="20"/>
              </w:rPr>
              <w:t>□</w:t>
            </w:r>
            <w:r>
              <w:rPr>
                <w:rFonts w:hint="eastAsia" w:ascii="宋体" w:hAnsi="宋体"/>
                <w:sz w:val="20"/>
                <w:szCs w:val="20"/>
              </w:rPr>
              <w:t>自建办公用房</w:t>
            </w:r>
            <w:r>
              <w:rPr>
                <w:rFonts w:hint="eastAsia" w:ascii="宋体" w:hAnsi="宋体"/>
                <w:spacing w:val="-10"/>
                <w:sz w:val="20"/>
                <w:szCs w:val="20"/>
              </w:rPr>
              <w:t>□</w:t>
            </w:r>
            <w:r>
              <w:rPr>
                <w:rFonts w:hint="eastAsia" w:ascii="宋体" w:hAnsi="宋体"/>
                <w:sz w:val="20"/>
                <w:szCs w:val="20"/>
              </w:rPr>
              <w:t>自建厂房</w:t>
            </w:r>
            <w:r>
              <w:rPr>
                <w:rFonts w:hint="eastAsia" w:ascii="宋体" w:hAnsi="宋体"/>
                <w:spacing w:val="-10"/>
                <w:sz w:val="20"/>
                <w:szCs w:val="20"/>
              </w:rPr>
              <w:t>□租用办公用房</w:t>
            </w:r>
            <w:r>
              <w:rPr>
                <w:rFonts w:hint="eastAsia" w:ascii="宋体" w:hAnsi="宋体"/>
                <w:spacing w:val="-10"/>
                <w:sz w:val="20"/>
                <w:szCs w:val="20"/>
              </w:rPr>
              <w:sym w:font="Wingdings 2" w:char="0052"/>
            </w:r>
            <w:r>
              <w:rPr>
                <w:rFonts w:hint="eastAsia" w:ascii="宋体" w:hAnsi="宋体"/>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ascii="宋体" w:hAnsi="宋体"/>
                <w:szCs w:val="21"/>
              </w:rPr>
            </w:pPr>
            <w:r>
              <w:rPr>
                <w:rFonts w:hint="eastAsia" w:ascii="宋体" w:hAnsi="宋体"/>
                <w:spacing w:val="-10"/>
                <w:sz w:val="20"/>
                <w:szCs w:val="20"/>
              </w:rPr>
              <w:sym w:font="Wingdings 2" w:char="0052"/>
            </w:r>
            <w:r>
              <w:rPr>
                <w:rFonts w:hint="eastAsia" w:ascii="宋体" w:hAnsi="宋体"/>
                <w:spacing w:val="-10"/>
                <w:sz w:val="20"/>
                <w:szCs w:val="20"/>
              </w:rPr>
              <w:t>产品技术标准号：</w:t>
            </w:r>
            <w:r>
              <w:rPr>
                <w:rFonts w:hint="eastAsia" w:ascii="宋体" w:hAnsi="宋体" w:cs="宋体"/>
                <w:color w:val="auto"/>
                <w:szCs w:val="21"/>
                <w:lang w:val="en-US" w:eastAsia="zh-CN"/>
              </w:rPr>
              <w:t>GB/T31438-2015</w:t>
            </w:r>
            <w:r>
              <w:rPr>
                <w:rFonts w:ascii="宋体" w:hAnsi="宋体"/>
                <w:color w:val="000000" w:themeColor="text1"/>
                <w:szCs w:val="21"/>
              </w:rPr>
              <w:t>《预应力混凝土桥梁用金属波纹管》</w:t>
            </w:r>
            <w:r>
              <w:rPr>
                <w:rFonts w:hint="eastAsia" w:ascii="宋体" w:hAnsi="宋体"/>
                <w:szCs w:val="21"/>
              </w:rPr>
              <w:t>、</w:t>
            </w:r>
            <w:r>
              <w:rPr>
                <w:rFonts w:ascii="宋体" w:hAnsi="宋体"/>
                <w:szCs w:val="21"/>
              </w:rPr>
              <w:t>《预应力混凝土桥梁用金属波纹管》</w:t>
            </w:r>
            <w:r>
              <w:rPr>
                <w:rFonts w:hint="eastAsia" w:ascii="宋体" w:hAnsi="宋体"/>
                <w:szCs w:val="21"/>
              </w:rPr>
              <w:t xml:space="preserve"> </w:t>
            </w:r>
            <w:r>
              <w:rPr>
                <w:rFonts w:ascii="宋体" w:hAnsi="宋体"/>
                <w:szCs w:val="21"/>
              </w:rPr>
              <w:t>JG225-2007</w:t>
            </w:r>
            <w:r>
              <w:rPr>
                <w:rFonts w:hint="eastAsia" w:ascii="宋体" w:hAnsi="宋体"/>
                <w:szCs w:val="21"/>
              </w:rPr>
              <w:t>、《</w:t>
            </w:r>
            <w:r>
              <w:rPr>
                <w:rFonts w:ascii="宋体" w:hAnsi="宋体"/>
                <w:szCs w:val="21"/>
              </w:rPr>
              <w:t>预应力混凝土桥梁用塑料波纹管</w:t>
            </w:r>
            <w:r>
              <w:rPr>
                <w:rFonts w:hint="eastAsia" w:ascii="宋体" w:hAnsi="宋体"/>
                <w:szCs w:val="21"/>
              </w:rPr>
              <w:t>》</w:t>
            </w:r>
            <w:r>
              <w:rPr>
                <w:rFonts w:ascii="宋体" w:hAnsi="宋体"/>
                <w:szCs w:val="21"/>
              </w:rPr>
              <w:t>JT/T529-2016、</w:t>
            </w:r>
            <w:r>
              <w:rPr>
                <w:rFonts w:hint="eastAsia" w:ascii="宋体" w:hAnsi="宋体"/>
                <w:szCs w:val="21"/>
              </w:rPr>
              <w:t>客户要求</w:t>
            </w:r>
            <w:r>
              <w:rPr>
                <w:rFonts w:hint="eastAsia"/>
                <w:szCs w:val="21"/>
              </w:rPr>
              <w:t>等。</w:t>
            </w:r>
          </w:p>
          <w:p>
            <w:pPr>
              <w:rPr>
                <w:rFonts w:ascii="宋体"/>
                <w:spacing w:val="-10"/>
                <w:sz w:val="20"/>
                <w:szCs w:val="20"/>
              </w:rPr>
            </w:pPr>
            <w:r>
              <w:rPr>
                <w:rFonts w:hint="eastAsia" w:ascii="宋体" w:hAnsi="宋体"/>
                <w:spacing w:val="-10"/>
                <w:sz w:val="20"/>
                <w:szCs w:val="20"/>
              </w:rPr>
              <w:sym w:font="Wingdings 2" w:char="0052"/>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spacing w:val="-10"/>
                <w:sz w:val="20"/>
                <w:szCs w:val="20"/>
              </w:rPr>
            </w:pPr>
            <w:r>
              <w:rPr>
                <w:rFonts w:hint="eastAsia" w:ascii="宋体" w:hAnsi="宋体"/>
                <w:spacing w:val="-10"/>
                <w:sz w:val="20"/>
                <w:szCs w:val="20"/>
              </w:rPr>
              <w:t>现场是否有产品检验报告</w:t>
            </w:r>
            <w:r>
              <w:rPr>
                <w:rFonts w:hint="eastAsia" w:ascii="宋体" w:hAnsi="宋体"/>
                <w:sz w:val="20"/>
                <w:szCs w:val="20"/>
              </w:rPr>
              <w:sym w:font="Wingdings 2" w:char="0052"/>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spacing w:val="-10"/>
                <w:sz w:val="20"/>
                <w:szCs w:val="20"/>
              </w:rPr>
            </w:pPr>
            <w:r>
              <w:rPr>
                <w:rFonts w:hint="eastAsia" w:ascii="宋体"/>
                <w:sz w:val="20"/>
                <w:szCs w:val="20"/>
              </w:rPr>
              <w:t>是否需要型式试验</w:t>
            </w:r>
            <w:r>
              <w:rPr>
                <w:rFonts w:hint="eastAsia" w:ascii="宋体" w:hAnsi="宋体"/>
                <w:sz w:val="20"/>
                <w:szCs w:val="20"/>
              </w:rPr>
              <w:sym w:font="Wingdings 2" w:char="0052"/>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否，是否有</w:t>
            </w:r>
            <w:r>
              <w:rPr>
                <w:rFonts w:hint="eastAsia" w:ascii="宋体"/>
                <w:sz w:val="20"/>
                <w:szCs w:val="20"/>
              </w:rPr>
              <w:t>型式试验</w:t>
            </w:r>
            <w:r>
              <w:rPr>
                <w:rFonts w:hint="eastAsia" w:ascii="宋体" w:hAnsi="宋体"/>
                <w:sz w:val="20"/>
                <w:szCs w:val="20"/>
              </w:rPr>
              <w:t>报告</w:t>
            </w:r>
            <w:r>
              <w:rPr>
                <w:rFonts w:hint="eastAsia" w:ascii="宋体" w:hAnsi="宋体"/>
                <w:sz w:val="20"/>
                <w:szCs w:val="20"/>
              </w:rPr>
              <w:sym w:font="Wingdings 2" w:char="0052"/>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sz w:val="20"/>
                <w:szCs w:val="20"/>
              </w:rPr>
            </w:pPr>
            <w:r>
              <w:rPr>
                <w:rFonts w:hint="eastAsia" w:ascii="宋体"/>
                <w:sz w:val="20"/>
                <w:szCs w:val="20"/>
              </w:rPr>
              <w:t>是否接受了行政主管部门的抽查</w:t>
            </w:r>
            <w:r>
              <w:rPr>
                <w:rFonts w:hint="eastAsia" w:ascii="宋体" w:hAnsi="宋体"/>
                <w:spacing w:val="-10"/>
                <w:sz w:val="20"/>
                <w:szCs w:val="20"/>
              </w:rPr>
              <w:t>□</w:t>
            </w:r>
            <w:r>
              <w:rPr>
                <w:rFonts w:hint="eastAsia" w:ascii="宋体" w:hAnsi="宋体"/>
                <w:sz w:val="20"/>
                <w:szCs w:val="20"/>
              </w:rPr>
              <w:t>是</w:t>
            </w:r>
            <w:r>
              <w:rPr>
                <w:rFonts w:hint="eastAsia" w:ascii="宋体" w:hAnsi="宋体"/>
                <w:sz w:val="20"/>
                <w:szCs w:val="20"/>
              </w:rPr>
              <w:sym w:font="Wingdings 2" w:char="0052"/>
            </w:r>
            <w:r>
              <w:rPr>
                <w:rFonts w:hint="eastAsia" w:ascii="宋体" w:hAnsi="宋体"/>
                <w:sz w:val="20"/>
                <w:szCs w:val="20"/>
              </w:rPr>
              <w:t>否，抽查结果</w:t>
            </w:r>
            <w:r>
              <w:rPr>
                <w:rFonts w:hint="eastAsia" w:ascii="宋体" w:hAnsi="宋体"/>
                <w:spacing w:val="-10"/>
                <w:sz w:val="20"/>
                <w:szCs w:val="20"/>
              </w:rPr>
              <w:t>□</w:t>
            </w:r>
            <w:r>
              <w:rPr>
                <w:rFonts w:hint="eastAsia" w:ascii="宋体" w:hAnsi="宋体"/>
                <w:sz w:val="20"/>
                <w:szCs w:val="20"/>
              </w:rPr>
              <w:t>合格</w:t>
            </w:r>
            <w:r>
              <w:rPr>
                <w:rFonts w:hint="eastAsia" w:ascii="宋体" w:hAnsi="宋体"/>
                <w:spacing w:val="-10"/>
                <w:sz w:val="20"/>
                <w:szCs w:val="20"/>
              </w:rPr>
              <w:t>□</w:t>
            </w:r>
            <w:r>
              <w:rPr>
                <w:rFonts w:hint="eastAsia" w:ascii="宋体" w:hAnsi="宋体"/>
                <w:sz w:val="20"/>
                <w:szCs w:val="20"/>
              </w:rPr>
              <w:t>不合格</w:t>
            </w:r>
          </w:p>
          <w:p>
            <w:pPr>
              <w:rPr>
                <w:rFonts w:ascii="宋体"/>
                <w:sz w:val="20"/>
                <w:szCs w:val="20"/>
              </w:rPr>
            </w:pPr>
            <w:r>
              <w:rPr>
                <w:rFonts w:hint="eastAsia" w:ascii="宋体" w:hAnsi="宋体"/>
                <w:sz w:val="20"/>
                <w:szCs w:val="20"/>
              </w:rPr>
              <w:t>是否列入当地政府黑名单</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sym w:font="Wingdings 2" w:char="0052"/>
            </w:r>
            <w:r>
              <w:rPr>
                <w:rFonts w:hint="eastAsia" w:ascii="宋体" w:hAnsi="宋体"/>
                <w:sz w:val="20"/>
                <w:szCs w:val="20"/>
              </w:rPr>
              <w:t>否</w:t>
            </w:r>
          </w:p>
          <w:p>
            <w:pPr>
              <w:rPr>
                <w:rFonts w:ascii="宋体"/>
                <w:spacing w:val="-10"/>
                <w:sz w:val="20"/>
                <w:szCs w:val="20"/>
              </w:rPr>
            </w:pPr>
            <w:r>
              <w:rPr>
                <w:rFonts w:hint="eastAsia" w:ascii="宋体" w:hAnsi="宋体"/>
                <w:sz w:val="20"/>
                <w:szCs w:val="20"/>
              </w:rPr>
              <w:t>是否有重大顾客投诉</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sym w:font="Wingdings 2" w:char="0052"/>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rPr>
                <w:rFonts w:ascii="宋体" w:hAnsi="宋体"/>
                <w:szCs w:val="22"/>
              </w:rPr>
            </w:pPr>
            <w:r>
              <w:rPr>
                <w:rFonts w:hint="eastAsia" w:ascii="宋体" w:hAnsi="宋体"/>
                <w:szCs w:val="22"/>
              </w:rPr>
              <w:t>声测管：</w:t>
            </w:r>
            <w:r>
              <w:rPr>
                <w:rFonts w:hint="eastAsia" w:ascii="宋体" w:hAnsi="宋体"/>
                <w:szCs w:val="22"/>
                <w:lang w:eastAsia="zh-CN"/>
              </w:rPr>
              <w:t>焊管</w:t>
            </w:r>
            <w:r>
              <w:rPr>
                <w:rFonts w:hint="eastAsia" w:ascii="宋体" w:hAnsi="宋体"/>
                <w:szCs w:val="22"/>
              </w:rPr>
              <w:t>——下料——焊接——组装接头——检验——入库</w:t>
            </w:r>
            <w:bookmarkStart w:id="25" w:name="_GoBack"/>
            <w:bookmarkEnd w:id="25"/>
          </w:p>
          <w:p>
            <w:pPr>
              <w:spacing w:line="360" w:lineRule="auto"/>
              <w:rPr>
                <w:rFonts w:ascii="宋体" w:hAnsi="宋体"/>
                <w:szCs w:val="22"/>
              </w:rPr>
            </w:pPr>
            <w:r>
              <w:rPr>
                <w:rFonts w:hint="eastAsia" w:ascii="宋体" w:hAnsi="宋体"/>
                <w:szCs w:val="22"/>
              </w:rPr>
              <w:t>塑料波纹管：配料——挤出成型——检验——入库</w:t>
            </w:r>
          </w:p>
          <w:p>
            <w:pPr>
              <w:spacing w:line="360" w:lineRule="auto"/>
              <w:rPr>
                <w:rFonts w:ascii="宋体"/>
                <w:sz w:val="20"/>
                <w:szCs w:val="20"/>
              </w:rPr>
            </w:pPr>
            <w:r>
              <w:rPr>
                <w:rFonts w:hint="eastAsia" w:ascii="宋体" w:hAnsi="宋体"/>
                <w:szCs w:val="22"/>
              </w:rPr>
              <w:t>金属波纹管：钢带——绕制成型——切割——检验——入库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sz w:val="20"/>
                <w:szCs w:val="20"/>
              </w:rPr>
            </w:pPr>
            <w:r>
              <w:rPr>
                <w:rFonts w:hint="eastAsia" w:ascii="宋体" w:hAnsi="宋体"/>
                <w:sz w:val="20"/>
                <w:szCs w:val="20"/>
              </w:rPr>
              <w:t>关键过程有：焊接、成型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sz w:val="20"/>
                <w:szCs w:val="20"/>
              </w:rPr>
            </w:pPr>
            <w:r>
              <w:rPr>
                <w:rFonts w:hint="eastAsia" w:ascii="宋体" w:hAnsi="宋体"/>
                <w:sz w:val="20"/>
                <w:szCs w:val="20"/>
              </w:rPr>
              <w:t>针对关键过程建立的控制文件有：</w:t>
            </w:r>
            <w:r>
              <w:rPr>
                <w:rFonts w:hint="eastAsia" w:ascii="宋体" w:hAnsi="宋体"/>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spacing w:val="-10"/>
                <w:sz w:val="20"/>
                <w:szCs w:val="20"/>
              </w:rPr>
            </w:pPr>
            <w:r>
              <w:rPr>
                <w:rFonts w:hint="eastAsia" w:ascii="宋体" w:hAnsi="宋体"/>
                <w:sz w:val="20"/>
                <w:szCs w:val="20"/>
              </w:rPr>
              <w:t>需要确认过程：焊接、挤塑成型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spacing w:val="-10"/>
                <w:sz w:val="20"/>
                <w:szCs w:val="20"/>
              </w:rPr>
            </w:pPr>
            <w:r>
              <w:rPr>
                <w:rFonts w:hint="eastAsia" w:ascii="宋体" w:hAnsi="宋体"/>
                <w:spacing w:val="-10"/>
                <w:sz w:val="20"/>
                <w:szCs w:val="20"/>
              </w:rPr>
              <w:t>是</w:t>
            </w:r>
            <w:r>
              <w:rPr>
                <w:rFonts w:hint="eastAsia" w:ascii="宋体"/>
                <w:sz w:val="20"/>
                <w:szCs w:val="20"/>
              </w:rPr>
              <w:t>否明确了过程的确认方法</w:t>
            </w:r>
            <w:r>
              <w:rPr>
                <w:rFonts w:hint="eastAsia" w:ascii="宋体" w:hAnsi="宋体"/>
                <w:sz w:val="20"/>
                <w:szCs w:val="20"/>
              </w:rPr>
              <w:sym w:font="Wingdings 2" w:char="0052"/>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是</w:t>
            </w:r>
            <w:r>
              <w:rPr>
                <w:rFonts w:hint="eastAsia" w:ascii="宋体"/>
                <w:sz w:val="20"/>
                <w:szCs w:val="20"/>
              </w:rPr>
              <w:t>否明确了过程的确认准则</w:t>
            </w:r>
            <w:r>
              <w:rPr>
                <w:rFonts w:hint="eastAsia" w:ascii="宋体" w:hAnsi="宋体"/>
                <w:sz w:val="20"/>
                <w:szCs w:val="20"/>
              </w:rPr>
              <w:sym w:font="Wingdings 2" w:char="0052"/>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themeColor="text1"/>
                <w:sz w:val="20"/>
                <w:szCs w:val="20"/>
              </w:rPr>
              <w:t>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spacing w:val="-10"/>
                <w:sz w:val="20"/>
                <w:szCs w:val="20"/>
              </w:rPr>
            </w:pPr>
            <w:r>
              <w:rPr>
                <w:rFonts w:hint="eastAsia" w:ascii="宋体" w:hAnsi="宋体"/>
                <w:spacing w:val="-10"/>
                <w:sz w:val="20"/>
                <w:szCs w:val="20"/>
              </w:rPr>
              <w:t>主要设备：</w:t>
            </w:r>
            <w:r>
              <w:rPr>
                <w:rFonts w:hint="eastAsia" w:ascii="宋体" w:hAnsi="宋体" w:cs="宋体"/>
                <w:szCs w:val="21"/>
              </w:rPr>
              <w:t>高频焊管生产线、保护焊机、</w:t>
            </w:r>
            <w:r>
              <w:rPr>
                <w:rFonts w:hint="eastAsia" w:ascii="宋体" w:hAnsi="宋体"/>
                <w:szCs w:val="21"/>
              </w:rPr>
              <w:t>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sz w:val="20"/>
                <w:szCs w:val="20"/>
              </w:rPr>
            </w:pPr>
            <w:r>
              <w:rPr>
                <w:rFonts w:hint="eastAsia" w:ascii="宋体" w:hAnsi="宋体"/>
                <w:sz w:val="20"/>
                <w:szCs w:val="20"/>
              </w:rPr>
              <w:t>设备是否满足要求</w:t>
            </w:r>
            <w:r>
              <w:rPr>
                <w:rFonts w:hint="eastAsia" w:ascii="宋体" w:hAnsi="宋体"/>
                <w:sz w:val="20"/>
                <w:szCs w:val="20"/>
              </w:rPr>
              <w:sym w:font="Wingdings 2" w:char="0052"/>
            </w:r>
            <w:r>
              <w:rPr>
                <w:rFonts w:hint="eastAsia" w:ascii="宋体" w:hAns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sz w:val="20"/>
                <w:szCs w:val="20"/>
              </w:rPr>
            </w:pPr>
            <w:r>
              <w:rPr>
                <w:rFonts w:hint="eastAsia" w:ascii="宋体" w:hAnsi="宋体"/>
                <w:sz w:val="20"/>
                <w:szCs w:val="20"/>
              </w:rPr>
              <w:t>特种设备：行车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sz w:val="20"/>
                <w:szCs w:val="20"/>
              </w:rPr>
            </w:pPr>
            <w:r>
              <w:rPr>
                <w:rFonts w:hint="eastAsia" w:ascii="宋体" w:hAnsi="宋体"/>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sz w:val="20"/>
                <w:szCs w:val="20"/>
              </w:rPr>
            </w:pPr>
            <w:r>
              <w:rPr>
                <w:rFonts w:hint="eastAsia" w:ascii="宋体"/>
                <w:sz w:val="20"/>
                <w:szCs w:val="20"/>
              </w:rPr>
              <w:t>监视和测量设备（请简述主要监视和测量设备）：</w:t>
            </w:r>
            <w:r>
              <w:rPr>
                <w:rFonts w:hint="eastAsia" w:ascii="宋体" w:hAnsi="宋体"/>
                <w:szCs w:val="21"/>
              </w:rPr>
              <w:t>游标卡尺、卷尺、压力表等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sz w:val="20"/>
                <w:szCs w:val="20"/>
              </w:rPr>
            </w:pPr>
            <w:r>
              <w:rPr>
                <w:rFonts w:hint="eastAsia" w:ascii="宋体"/>
                <w:sz w:val="20"/>
                <w:szCs w:val="20"/>
              </w:rPr>
              <w:t>检测设备是否满足要求</w:t>
            </w:r>
            <w:r>
              <w:rPr>
                <w:rFonts w:hint="eastAsia" w:ascii="宋体" w:hAnsi="宋体"/>
                <w:sz w:val="20"/>
                <w:szCs w:val="20"/>
              </w:rPr>
              <w:sym w:font="Wingdings 2" w:char="0052"/>
            </w:r>
            <w:r>
              <w:rPr>
                <w:rFonts w:hint="eastAsia" w:asci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组织员工人数：25人，其中管理人员：人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重点审核部门：生产部、技质部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 xml:space="preserve">建立有《内部审核控制程序》，于2020年8月26日进行了内部审核。内部审核组组成：组长：蒋玉凤        组员：甘晓忆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2020年9月15日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ascii="宋体" w:hAnsi="宋体"/>
          <w:szCs w:val="21"/>
          <w:u w:val="single"/>
        </w:rPr>
        <w:t>波纹管（塑料和钢带）、声测管的生产</w:t>
      </w:r>
      <w:r>
        <w:rPr>
          <w:rFonts w:ascii="宋体" w:hAnsi="宋体"/>
          <w:b/>
          <w:color w:val="000000"/>
          <w:sz w:val="20"/>
          <w:szCs w:val="20"/>
          <w:u w:val="single"/>
        </w:rPr>
        <w:t>_______</w:t>
      </w:r>
      <w:r>
        <w:rPr>
          <w:rFonts w:ascii="宋体" w:hAnsi="宋体"/>
          <w:b/>
          <w:color w:val="000000"/>
          <w:sz w:val="20"/>
          <w:szCs w:val="20"/>
        </w:rPr>
        <w:t>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2020年11月11日</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受审核方：重庆荣淇金属制品有限公司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88"/>
        <w:gridCol w:w="229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88"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29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795"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088" w:type="dxa"/>
            <w:vAlign w:val="center"/>
          </w:tcPr>
          <w:p>
            <w:pPr>
              <w:pStyle w:val="5"/>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现场查见</w:t>
            </w:r>
            <w:r>
              <w:rPr>
                <w:rFonts w:hint="eastAsia" w:eastAsia="宋体"/>
                <w:color w:val="000000"/>
                <w:sz w:val="24"/>
                <w:szCs w:val="24"/>
                <w:lang w:eastAsia="zh-CN"/>
              </w:rPr>
              <w:t>：检测设备有游标卡尺、卷尺、厚度尺、压力表等。以上检具不能提供有效校准证书。</w:t>
            </w:r>
          </w:p>
        </w:tc>
        <w:tc>
          <w:tcPr>
            <w:tcW w:w="2297"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ascii="Times New Roman" w:hAnsi="Times New Roman" w:eastAsia="宋体" w:cs="Times New Roman"/>
                <w:b/>
                <w:bCs/>
                <w:color w:val="000000"/>
                <w:kern w:val="2"/>
                <w:sz w:val="22"/>
                <w:szCs w:val="22"/>
                <w:lang w:val="en-US" w:eastAsia="zh-CN" w:bidi="ar-SA"/>
              </w:rPr>
              <w:t>ISO9001：2015</w:t>
            </w:r>
          </w:p>
        </w:tc>
        <w:tc>
          <w:tcPr>
            <w:tcW w:w="1795"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88" w:type="dxa"/>
            <w:vAlign w:val="center"/>
          </w:tcPr>
          <w:p>
            <w:pPr>
              <w:pStyle w:val="5"/>
              <w:pBdr>
                <w:bottom w:val="none" w:color="auto" w:sz="0" w:space="0"/>
              </w:pBdr>
              <w:tabs>
                <w:tab w:val="center" w:pos="5737"/>
                <w:tab w:val="clear" w:pos="4153"/>
              </w:tabs>
              <w:jc w:val="both"/>
              <w:rPr>
                <w:color w:val="000000"/>
                <w:sz w:val="24"/>
                <w:szCs w:val="24"/>
              </w:rPr>
            </w:pPr>
          </w:p>
        </w:tc>
        <w:tc>
          <w:tcPr>
            <w:tcW w:w="2297" w:type="dxa"/>
            <w:vAlign w:val="center"/>
          </w:tcPr>
          <w:p>
            <w:pPr>
              <w:pStyle w:val="5"/>
              <w:pBdr>
                <w:bottom w:val="none" w:color="auto" w:sz="0" w:space="0"/>
              </w:pBdr>
              <w:ind w:right="600"/>
              <w:jc w:val="both"/>
              <w:rPr>
                <w:color w:val="000000"/>
                <w:sz w:val="32"/>
                <w:szCs w:val="32"/>
              </w:rPr>
            </w:pPr>
          </w:p>
        </w:tc>
        <w:tc>
          <w:tcPr>
            <w:tcW w:w="1795"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88" w:type="dxa"/>
            <w:vAlign w:val="center"/>
          </w:tcPr>
          <w:p>
            <w:pPr>
              <w:pStyle w:val="5"/>
              <w:pBdr>
                <w:bottom w:val="none" w:color="auto" w:sz="0" w:space="0"/>
              </w:pBdr>
              <w:tabs>
                <w:tab w:val="center" w:pos="5737"/>
                <w:tab w:val="clear" w:pos="4153"/>
              </w:tabs>
              <w:jc w:val="both"/>
              <w:rPr>
                <w:color w:val="000000"/>
                <w:sz w:val="24"/>
                <w:szCs w:val="24"/>
              </w:rPr>
            </w:pPr>
          </w:p>
        </w:tc>
        <w:tc>
          <w:tcPr>
            <w:tcW w:w="2297" w:type="dxa"/>
            <w:vAlign w:val="center"/>
          </w:tcPr>
          <w:p>
            <w:pPr>
              <w:pStyle w:val="5"/>
              <w:pBdr>
                <w:bottom w:val="none" w:color="auto" w:sz="0" w:space="0"/>
              </w:pBdr>
              <w:ind w:right="600"/>
              <w:jc w:val="both"/>
              <w:rPr>
                <w:color w:val="000000"/>
                <w:sz w:val="32"/>
                <w:szCs w:val="32"/>
              </w:rPr>
            </w:pPr>
          </w:p>
        </w:tc>
        <w:tc>
          <w:tcPr>
            <w:tcW w:w="1795"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88" w:type="dxa"/>
            <w:vAlign w:val="center"/>
          </w:tcPr>
          <w:p>
            <w:pPr>
              <w:pStyle w:val="5"/>
              <w:pBdr>
                <w:bottom w:val="none" w:color="auto" w:sz="0" w:space="0"/>
              </w:pBdr>
              <w:tabs>
                <w:tab w:val="center" w:pos="5737"/>
                <w:tab w:val="clear" w:pos="4153"/>
              </w:tabs>
              <w:jc w:val="both"/>
              <w:rPr>
                <w:color w:val="000000"/>
                <w:sz w:val="24"/>
                <w:szCs w:val="24"/>
              </w:rPr>
            </w:pPr>
          </w:p>
        </w:tc>
        <w:tc>
          <w:tcPr>
            <w:tcW w:w="2297" w:type="dxa"/>
            <w:vAlign w:val="center"/>
          </w:tcPr>
          <w:p>
            <w:pPr>
              <w:pStyle w:val="5"/>
              <w:pBdr>
                <w:bottom w:val="none" w:color="auto" w:sz="0" w:space="0"/>
              </w:pBdr>
              <w:ind w:right="600"/>
              <w:jc w:val="both"/>
              <w:rPr>
                <w:color w:val="000000"/>
                <w:sz w:val="32"/>
                <w:szCs w:val="32"/>
              </w:rPr>
            </w:pPr>
          </w:p>
        </w:tc>
        <w:tc>
          <w:tcPr>
            <w:tcW w:w="1795"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88" w:type="dxa"/>
            <w:vAlign w:val="center"/>
          </w:tcPr>
          <w:p>
            <w:pPr>
              <w:pStyle w:val="5"/>
              <w:pBdr>
                <w:bottom w:val="none" w:color="auto" w:sz="0" w:space="0"/>
              </w:pBdr>
              <w:tabs>
                <w:tab w:val="center" w:pos="5737"/>
                <w:tab w:val="clear" w:pos="4153"/>
              </w:tabs>
              <w:jc w:val="both"/>
              <w:rPr>
                <w:color w:val="000000"/>
                <w:sz w:val="24"/>
                <w:szCs w:val="24"/>
              </w:rPr>
            </w:pPr>
          </w:p>
        </w:tc>
        <w:tc>
          <w:tcPr>
            <w:tcW w:w="2297" w:type="dxa"/>
            <w:vAlign w:val="center"/>
          </w:tcPr>
          <w:p>
            <w:pPr>
              <w:pStyle w:val="5"/>
              <w:pBdr>
                <w:bottom w:val="none" w:color="auto" w:sz="0" w:space="0"/>
              </w:pBdr>
              <w:ind w:right="600"/>
              <w:jc w:val="both"/>
              <w:rPr>
                <w:color w:val="000000"/>
                <w:sz w:val="32"/>
                <w:szCs w:val="32"/>
              </w:rPr>
            </w:pPr>
          </w:p>
        </w:tc>
        <w:tc>
          <w:tcPr>
            <w:tcW w:w="1795"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2020年11月11日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2020年11月11日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65FE"/>
    <w:rsid w:val="0001441E"/>
    <w:rsid w:val="003B5F97"/>
    <w:rsid w:val="009C65FE"/>
    <w:rsid w:val="21BF6365"/>
    <w:rsid w:val="266C5826"/>
    <w:rsid w:val="2BC613A4"/>
    <w:rsid w:val="4DBB4C0B"/>
    <w:rsid w:val="7F1E7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页眉 Char"/>
    <w:link w:val="5"/>
    <w:qFormat/>
    <w:locked/>
    <w:uiPriority w:val="99"/>
    <w:rPr>
      <w:rFonts w:ascii="Calibri" w:hAnsi="Calibri" w:eastAsia="宋体" w:cs="Times New Roman"/>
      <w:sz w:val="18"/>
      <w:szCs w:val="18"/>
    </w:rPr>
  </w:style>
  <w:style w:type="character" w:customStyle="1" w:styleId="13">
    <w:name w:val="副标题 Char"/>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1131</Words>
  <Characters>6452</Characters>
  <Lines>53</Lines>
  <Paragraphs>15</Paragraphs>
  <TotalTime>1</TotalTime>
  <ScaleCrop>false</ScaleCrop>
  <LinksUpToDate>false</LinksUpToDate>
  <CharactersWithSpaces>7568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cp:lastModifiedBy>
  <dcterms:modified xsi:type="dcterms:W3CDTF">2020-11-23T05:58:40Z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